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p>
      <w:pPr>
        <w:pStyle w:val="FirstParagraph"/>
      </w:pPr>
      <w:r>
        <w:t xml:space="preserve">INVOICE</w:t>
      </w:r>
    </w:p>
    <w:bookmarkStart w:id="20" w:name="Xd7657886f98253c2863d66da9a745d7e380172b"/>
    <w:p>
      <w:pPr>
        <w:pStyle w:val="Heading1"/>
      </w:pPr>
      <w:r>
        <w:t xml:space="preserve">PT. Nusantara Chemical Engineering Solutions</w:t>
      </w:r>
    </w:p>
    <w:p>
      <w:pPr>
        <w:pStyle w:val="FirstParagraph"/>
      </w:pPr>
      <w:r>
        <w:rPr>
          <w:bCs/>
          <w:b/>
        </w:rPr>
        <w:t xml:space="preserve">Professional Chemical Engineering Services</w:t>
      </w:r>
    </w:p>
    <w:p>
      <w:pPr>
        <w:pStyle w:val="BodyText"/>
      </w:pPr>
      <w:r>
        <w:t xml:space="preserve">Jl. Sudirman Kav. 52-53, SCBD Lot 11</w:t>
      </w:r>
    </w:p>
    <w:p>
      <w:pPr>
        <w:pStyle w:val="BodyText"/>
      </w:pPr>
      <w:r>
        <w:t xml:space="preserve">Jakarta Selatan, Indonesia Jakarta 12190</w:t>
      </w:r>
    </w:p>
    <w:p>
      <w:pPr>
        <w:pStyle w:val="BodyText"/>
      </w:pPr>
      <w:r>
        <w:t xml:space="preserve">Telp: +62 21 5794 8800 | Email: billing@nusantarakimia.co.id</w:t>
      </w:r>
    </w:p>
    <w:p>
      <w:pPr>
        <w:pStyle w:val="BodyText"/>
      </w:pPr>
      <w:r>
        <w:t xml:space="preserve">NPWP: 01.234.567.8-901.000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INV-JKT-CE-2024-0847</w:t>
      </w:r>
    </w:p>
    <w:p>
      <w:pPr>
        <w:pStyle w:val="BodyText"/>
      </w:pPr>
      <w:r>
        <w:rPr>
          <w:bCs/>
          <w:b/>
        </w:rPr>
        <w:t xml:space="preserve">Date Issued:</w:t>
      </w:r>
      <w:r>
        <w:t xml:space="preserve"> </w:t>
      </w:r>
      <w:r>
        <w:t xml:space="preserve">January 15, 2024</w:t>
      </w:r>
    </w:p>
    <w:p>
      <w:pPr>
        <w:pStyle w:val="BodyText"/>
      </w:pPr>
      <w:r>
        <w:rPr>
          <w:bCs/>
          <w:b/>
        </w:rPr>
        <w:t xml:space="preserve">Due Date:</w:t>
      </w:r>
      <w:r>
        <w:t xml:space="preserve"> </w:t>
      </w:r>
      <w:r>
        <w:t xml:space="preserve">February 14, 2024</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IDR (Indonesian Rupiah)</w:t>
      </w:r>
    </w:p>
    <w:bookmarkEnd w:id="21"/>
    <w:bookmarkStart w:id="22" w:name="bill-to"/>
    <w:p>
      <w:pPr>
        <w:pStyle w:val="Heading3"/>
      </w:pPr>
      <w:r>
        <w:t xml:space="preserve">BILL TO:</w:t>
      </w:r>
    </w:p>
    <w:p>
      <w:pPr>
        <w:pStyle w:val="FirstParagraph"/>
      </w:pPr>
      <w:r>
        <w:rPr>
          <w:bCs/>
          <w:b/>
        </w:rPr>
        <w:t xml:space="preserve">PT. Indo Petrochemical Industries</w:t>
      </w:r>
    </w:p>
    <w:p>
      <w:pPr>
        <w:pStyle w:val="BodyText"/>
      </w:pPr>
      <w:r>
        <w:t xml:space="preserve">Attn: Procurement Department</w:t>
      </w:r>
    </w:p>
    <w:p>
      <w:pPr>
        <w:pStyle w:val="BodyText"/>
      </w:pPr>
      <w:r>
        <w:t xml:space="preserve">Jl. Raya Cibitung No. 88</w:t>
      </w:r>
    </w:p>
    <w:p>
      <w:pPr>
        <w:pStyle w:val="BodyText"/>
      </w:pPr>
      <w:r>
        <w:t xml:space="preserve">Kabupaten Bekasi, Jawa Barat</w:t>
      </w:r>
    </w:p>
    <w:p>
      <w:pPr>
        <w:pStyle w:val="BodyText"/>
      </w:pPr>
      <w:r>
        <w:t xml:space="preserve">Indonesia Jakarta Metropolitan Area 17520</w:t>
      </w:r>
    </w:p>
    <w:p>
      <w:pPr>
        <w:pStyle w:val="BodyText"/>
      </w:pPr>
      <w:r>
        <w:t xml:space="preserve">NPWP: 02.987.654.3-210.000</w:t>
      </w:r>
    </w:p>
    <w:bookmarkEnd w:id="22"/>
    <w:bookmarkStart w:id="23" w:name="project-location"/>
    <w:p>
      <w:pPr>
        <w:pStyle w:val="Heading3"/>
      </w:pPr>
      <w:r>
        <w:t xml:space="preserve">PROJECT LOCATION:</w:t>
      </w:r>
    </w:p>
    <w:p>
      <w:pPr>
        <w:pStyle w:val="FirstParagraph"/>
      </w:pPr>
      <w:r>
        <w:rPr>
          <w:bCs/>
          <w:b/>
        </w:rPr>
        <w:t xml:space="preserve">Refinery Expansion Project Phase III</w:t>
      </w:r>
    </w:p>
    <w:p>
      <w:pPr>
        <w:pStyle w:val="BodyText"/>
      </w:pPr>
      <w:r>
        <w:t xml:space="preserve">Jl. Industri Raya Blok A7</w:t>
      </w:r>
    </w:p>
    <w:p>
      <w:pPr>
        <w:pStyle w:val="BodyText"/>
      </w:pPr>
      <w:r>
        <w:t xml:space="preserve">Kawasan Industri Jababeka</w:t>
      </w:r>
    </w:p>
    <w:p>
      <w:pPr>
        <w:pStyle w:val="BodyText"/>
      </w:pPr>
      <w:r>
        <w:t xml:space="preserve">Jakarta - Bekasi Corridor</w:t>
      </w:r>
    </w:p>
    <w:p>
      <w:pPr>
        <w:pStyle w:val="BodyText"/>
      </w:pPr>
      <w:r>
        <w:t xml:space="preserve">Indonesia Jakarta 17530</w:t>
      </w:r>
    </w:p>
    <w:p>
      <w:pPr>
        <w:pStyle w:val="BodyText"/>
      </w:pPr>
      <w:r>
        <w:t xml:space="preserve">Project Code: REXP-III-2024</w:t>
      </w:r>
    </w:p>
    <w:bookmarkEnd w:id="23"/>
    <w:p>
      <w:pPr>
        <w:pStyle w:val="BodyText"/>
      </w:pPr>
      <w:r>
        <w:rPr>
          <w:bCs/>
          <w:b/>
        </w:rPr>
        <w:t xml:space="preserve">Service Description:</w:t>
      </w:r>
      <w:r>
        <w:t xml:space="preserve"> </w:t>
      </w:r>
      <w:r>
        <w:t xml:space="preserve">This Invoice documents professional Chemical Engineer consulting and technical services rendered by PT. Nusantara Chemical Engineering Solutions for the optimization of catalytic cracking processes, safety compliance assessments, and process efficiency improvements at the client's refinery facility located in the Indonesia Jakarta metropolitan industrial zone. All services comply with Indonesian National Standards (SNI) and international chemical engineering best practices.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Chemical Engineering Services</w:t>
            </w:r>
          </w:p>
        </w:tc>
        <w:tc>
          <w:tcPr/>
          <w:p>
            <w:pPr>
              <w:pStyle w:val="Compact"/>
              <w:jc w:val="left"/>
            </w:pPr>
            <w:r>
              <w:t xml:space="preserve">Quantity</w:t>
            </w:r>
          </w:p>
        </w:tc>
        <w:tc>
          <w:tcPr/>
          <w:p>
            <w:pPr>
              <w:pStyle w:val="Compact"/>
              <w:jc w:val="left"/>
            </w:pPr>
            <w:r>
              <w:t xml:space="preserve">Unit Rate (IDR)</w:t>
            </w:r>
          </w:p>
        </w:tc>
        <w:tc>
          <w:tcPr/>
          <w:p>
            <w:pPr>
              <w:pStyle w:val="Compact"/>
              <w:jc w:val="left"/>
            </w:pPr>
            <w:r>
              <w:t xml:space="preserve">Amount (IDR)</w:t>
            </w:r>
          </w:p>
        </w:tc>
      </w:tr>
      <w:tr>
        <w:tc>
          <w:tcPr/>
          <w:p>
            <w:pPr>
              <w:pStyle w:val="Compact"/>
              <w:jc w:val="left"/>
            </w:pPr>
            <w:r>
              <w:t xml:space="preserve">1</w:t>
            </w:r>
          </w:p>
        </w:tc>
        <w:tc>
          <w:tcPr/>
          <w:p>
            <w:pPr>
              <w:pStyle w:val="Compact"/>
              <w:jc w:val="left"/>
            </w:pPr>
            <w:r>
              <w:rPr>
                <w:bCs/>
                <w:b/>
              </w:rPr>
              <w:t xml:space="preserve">Process Design Optimization - Catalytic Cracking Unit</w:t>
            </w:r>
            <w:r>
              <w:br/>
            </w:r>
            <w:r>
              <w:t xml:space="preserve">Comprehensive analysis and redesign of fluid catalytic cracking (FCC) unit operations to improve yield efficiency by 12%. Includes thermodynamic modeling, reaction kinetics analysis, and equipment sizing calculations performed by senior Chemical Engineer specialists.</w:t>
            </w:r>
          </w:p>
        </w:tc>
        <w:tc>
          <w:tcPr/>
          <w:p>
            <w:pPr>
              <w:pStyle w:val="Compact"/>
              <w:jc w:val="left"/>
            </w:pPr>
            <w:r>
              <w:t xml:space="preserve">1</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2</w:t>
            </w:r>
          </w:p>
        </w:tc>
        <w:tc>
          <w:tcPr/>
          <w:p>
            <w:pPr>
              <w:pStyle w:val="Compact"/>
              <w:jc w:val="left"/>
            </w:pPr>
            <w:r>
              <w:rPr>
                <w:bCs/>
                <w:b/>
              </w:rPr>
              <w:t xml:space="preserve">Heat Exchanger Network Synthesis and Optimization</w:t>
            </w:r>
            <w:r>
              <w:br/>
            </w:r>
            <w:r>
              <w:t xml:space="preserve">Pinch analysis and heat integration study for the distillation column complex. Development of energy recovery systems to reduce steam consumption. Includes detailed P&amp;ID modifications and heat balance calculations.</w:t>
            </w:r>
          </w:p>
        </w:tc>
        <w:tc>
          <w:tcPr/>
          <w:p>
            <w:pPr>
              <w:pStyle w:val="Compact"/>
              <w:jc w:val="left"/>
            </w:pPr>
            <w:r>
              <w:t xml:space="preserve">1</w:t>
            </w:r>
          </w:p>
        </w:tc>
        <w:tc>
          <w:tcPr/>
          <w:p>
            <w:pPr>
              <w:pStyle w:val="Compact"/>
              <w:jc w:val="left"/>
            </w:pPr>
            <w:r>
              <w:t xml:space="preserve">62,500,000</w:t>
            </w:r>
          </w:p>
        </w:tc>
        <w:tc>
          <w:tcPr/>
          <w:p>
            <w:pPr>
              <w:pStyle w:val="Compact"/>
              <w:jc w:val="left"/>
            </w:pPr>
            <w:r>
              <w:t xml:space="preserve">62,500,000</w:t>
            </w:r>
          </w:p>
        </w:tc>
      </w:tr>
      <w:tr>
        <w:tc>
          <w:tcPr/>
          <w:p>
            <w:pPr>
              <w:pStyle w:val="Compact"/>
              <w:jc w:val="left"/>
            </w:pPr>
            <w:r>
              <w:t xml:space="preserve">3</w:t>
            </w:r>
          </w:p>
        </w:tc>
        <w:tc>
          <w:tcPr/>
          <w:p>
            <w:pPr>
              <w:pStyle w:val="Compact"/>
              <w:jc w:val="left"/>
            </w:pPr>
            <w:r>
              <w:rPr>
                <w:bCs/>
                <w:b/>
              </w:rPr>
              <w:t xml:space="preserve">Chemical Process Safety Assessment (HAZOP Study)</w:t>
            </w:r>
            <w:r>
              <w:br/>
            </w:r>
            <w:r>
              <w:t xml:space="preserve">Hazard and Operability Study for new reactor installation. Identification of process hazards, risk assessment, and recommendation of safety instrumented systems (SIS) in accordance with IEC 61511 and Indonesian Ministry of Energy regulations.</w:t>
            </w:r>
          </w:p>
        </w:tc>
        <w:tc>
          <w:tcPr/>
          <w:p>
            <w:pPr>
              <w:pStyle w:val="Compact"/>
              <w:jc w:val="left"/>
            </w:pPr>
            <w:r>
              <w:t xml:space="preserve">1</w:t>
            </w:r>
          </w:p>
        </w:tc>
        <w:tc>
          <w:tcPr/>
          <w:p>
            <w:pPr>
              <w:pStyle w:val="Compact"/>
              <w:jc w:val="left"/>
            </w:pPr>
            <w:r>
              <w:t xml:space="preserve">48,000,000</w:t>
            </w:r>
          </w:p>
        </w:tc>
        <w:tc>
          <w:tcPr/>
          <w:p>
            <w:pPr>
              <w:pStyle w:val="Compact"/>
              <w:jc w:val="left"/>
            </w:pPr>
            <w:r>
              <w:t xml:space="preserve">48,000,000</w:t>
            </w:r>
          </w:p>
        </w:tc>
      </w:tr>
      <w:tr>
        <w:tc>
          <w:tcPr/>
          <w:p>
            <w:pPr>
              <w:pStyle w:val="Compact"/>
              <w:jc w:val="left"/>
            </w:pPr>
            <w:r>
              <w:t xml:space="preserve">4</w:t>
            </w:r>
          </w:p>
        </w:tc>
        <w:tc>
          <w:tcPr/>
          <w:p>
            <w:pPr>
              <w:pStyle w:val="Compact"/>
              <w:jc w:val="left"/>
            </w:pPr>
            <w:r>
              <w:rPr>
                <w:bCs/>
                <w:b/>
              </w:rPr>
              <w:t xml:space="preserve">On-Site Technical Supervision - Chemical Engineer Team</w:t>
            </w:r>
            <w:r>
              <w:br/>
            </w:r>
            <w:r>
              <w:t xml:space="preserve">Deployment of three (3) licensed Chemical Engineers for on-site supervision during equipment installation and commissioning. Duration: 15 working days. Includes daily progress reports and technical coordination with construction teams.</w:t>
            </w:r>
          </w:p>
        </w:tc>
        <w:tc>
          <w:tcPr/>
          <w:p>
            <w:pPr>
              <w:pStyle w:val="Compact"/>
              <w:jc w:val="left"/>
            </w:pPr>
            <w:r>
              <w:t xml:space="preserve">45</w:t>
            </w:r>
          </w:p>
        </w:tc>
        <w:tc>
          <w:tcPr/>
          <w:p>
            <w:pPr>
              <w:pStyle w:val="Compact"/>
              <w:jc w:val="left"/>
            </w:pPr>
            <w:r>
              <w:t xml:space="preserve">3,500,000</w:t>
            </w:r>
          </w:p>
        </w:tc>
        <w:tc>
          <w:tcPr/>
          <w:p>
            <w:pPr>
              <w:pStyle w:val="Compact"/>
              <w:jc w:val="left"/>
            </w:pPr>
            <w:r>
              <w:t xml:space="preserve">157,500,000</w:t>
            </w:r>
          </w:p>
        </w:tc>
      </w:tr>
      <w:tr>
        <w:tc>
          <w:tcPr/>
          <w:p>
            <w:pPr>
              <w:pStyle w:val="Compact"/>
              <w:jc w:val="left"/>
            </w:pPr>
            <w:r>
              <w:t xml:space="preserve">5</w:t>
            </w:r>
          </w:p>
        </w:tc>
        <w:tc>
          <w:tcPr/>
          <w:p>
            <w:pPr>
              <w:pStyle w:val="Compact"/>
              <w:jc w:val="left"/>
            </w:pPr>
            <w:r>
              <w:rPr>
                <w:bCs/>
                <w:b/>
              </w:rPr>
              <w:t xml:space="preserve">Environmental Compliance and Emission Control Design</w:t>
            </w:r>
            <w:r>
              <w:br/>
            </w:r>
            <w:r>
              <w:t xml:space="preserve">Design of scrubber systems for SOx and NOx reduction. Calculation of emission factors and preparation of environmental impact documentation required by Indonesia Jakarta local environmental agency (Dinas Lingkungan Hidup).</w:t>
            </w:r>
          </w:p>
        </w:tc>
        <w:tc>
          <w:tcPr/>
          <w:p>
            <w:pPr>
              <w:pStyle w:val="Compact"/>
              <w:jc w:val="left"/>
            </w:pPr>
            <w:r>
              <w:t xml:space="preserve">1</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6</w:t>
            </w:r>
          </w:p>
        </w:tc>
        <w:tc>
          <w:tcPr/>
          <w:p>
            <w:pPr>
              <w:pStyle w:val="Compact"/>
              <w:jc w:val="left"/>
            </w:pPr>
            <w:r>
              <w:rPr>
                <w:bCs/>
                <w:b/>
              </w:rPr>
              <w:t xml:space="preserve">Process Simulation and Validation (Aspen Plus/HYSYS)</w:t>
            </w:r>
            <w:r>
              <w:br/>
            </w:r>
            <w:r>
              <w:t xml:space="preserve">Steady-state and dynamic simulation of the entire refinery unit to validate design parameters. Includes sensitivity analysis, optimization runs, and generation of mass and energy balance reports.</w:t>
            </w:r>
          </w:p>
        </w:tc>
        <w:tc>
          <w:tcPr/>
          <w:p>
            <w:pPr>
              <w:pStyle w:val="Compact"/>
              <w:jc w:val="left"/>
            </w:pPr>
            <w:r>
              <w:t xml:space="preserve">1</w:t>
            </w:r>
          </w:p>
        </w:tc>
        <w:tc>
          <w:tcPr/>
          <w:p>
            <w:pPr>
              <w:pStyle w:val="Compact"/>
              <w:jc w:val="left"/>
            </w:pPr>
            <w:r>
              <w:t xml:space="preserve">29,000,000</w:t>
            </w:r>
          </w:p>
        </w:tc>
        <w:tc>
          <w:tcPr/>
          <w:p>
            <w:pPr>
              <w:pStyle w:val="Compact"/>
              <w:jc w:val="left"/>
            </w:pPr>
            <w:r>
              <w:t xml:space="preserve">29,000,000</w:t>
            </w:r>
          </w:p>
        </w:tc>
      </w:tr>
      <w:tr>
        <w:tc>
          <w:tcPr/>
          <w:p>
            <w:pPr>
              <w:pStyle w:val="Compact"/>
              <w:jc w:val="left"/>
            </w:pPr>
            <w:r>
              <w:t xml:space="preserve">7</w:t>
            </w:r>
          </w:p>
        </w:tc>
        <w:tc>
          <w:tcPr/>
          <w:p>
            <w:pPr>
              <w:pStyle w:val="Compact"/>
              <w:jc w:val="left"/>
            </w:pPr>
            <w:r>
              <w:rPr>
                <w:bCs/>
                <w:b/>
              </w:rPr>
              <w:t xml:space="preserve">Technical Documentation and Engineering Reports</w:t>
            </w:r>
            <w:r>
              <w:br/>
            </w:r>
            <w:r>
              <w:t xml:space="preserve">Preparation of comprehensive engineering deliverables including process design packages, equipment datasheets, operating procedures, and training manuals for plant operators.</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r>
    </w:tbl>
    <w:p>
      <w:pPr>
        <w:pStyle w:val="BodyText"/>
      </w:pPr>
      <w:r>
        <w:t xml:space="preserve">Subtotal:</w:t>
      </w:r>
      <w:r>
        <w:t xml:space="preserve"> </w:t>
      </w:r>
      <w:r>
        <w:t xml:space="preserve">IDR 442,000,000</w:t>
      </w:r>
    </w:p>
    <w:p>
      <w:pPr>
        <w:pStyle w:val="BodyText"/>
      </w:pPr>
      <w:r>
        <w:t xml:space="preserve">PPN (Value Added Tax) 11%:</w:t>
      </w:r>
      <w:r>
        <w:t xml:space="preserve"> </w:t>
      </w:r>
      <w:r>
        <w:t xml:space="preserve">IDR 48,620,000</w:t>
      </w:r>
    </w:p>
    <w:p>
      <w:pPr>
        <w:pStyle w:val="BodyText"/>
      </w:pPr>
      <w:r>
        <w:t xml:space="preserve">Withholding Tax (PPh 23) 2%:</w:t>
      </w:r>
      <w:r>
        <w:t xml:space="preserve"> </w:t>
      </w:r>
      <w:r>
        <w:t xml:space="preserve">- IDR 8,840,000</w:t>
      </w:r>
    </w:p>
    <w:p>
      <w:pPr>
        <w:pStyle w:val="BodyText"/>
      </w:pPr>
      <w:r>
        <w:t xml:space="preserve">TOTAL AMOUNT DUE:</w:t>
      </w:r>
      <w:r>
        <w:t xml:space="preserve"> </w:t>
      </w:r>
      <w:r>
        <w:t xml:space="preserve">IDR 481,780,000</w:t>
      </w:r>
    </w:p>
    <w:p>
      <w:pPr>
        <w:pStyle w:val="BodyText"/>
      </w:pPr>
      <w:r>
        <w:t xml:space="preserve">Amount in words: Four Hundred Eighty-One Million Seven Hundred Eighty Thousand Indonesian Rupiah</w:t>
      </w:r>
    </w:p>
    <w:bookmarkStart w:id="24" w:name="payment-instructions"/>
    <w:p>
      <w:pPr>
        <w:pStyle w:val="Heading3"/>
      </w:pPr>
      <w:r>
        <w:t xml:space="preserve">PAYMENT INSTRUCTIONS:</w:t>
      </w:r>
    </w:p>
    <w:p>
      <w:pPr>
        <w:pStyle w:val="FirstParagraph"/>
      </w:pPr>
      <w:r>
        <w:rPr>
          <w:bCs/>
          <w:b/>
        </w:rPr>
        <w:t xml:space="preserve">Bank Name:</w:t>
      </w:r>
      <w:r>
        <w:t xml:space="preserve"> </w:t>
      </w:r>
      <w:r>
        <w:t xml:space="preserve">Bank Central Asia (BCA)</w:t>
      </w:r>
    </w:p>
    <w:p>
      <w:pPr>
        <w:pStyle w:val="BodyText"/>
      </w:pPr>
      <w:r>
        <w:rPr>
          <w:bCs/>
          <w:b/>
        </w:rPr>
        <w:t xml:space="preserve">Account Name:</w:t>
      </w:r>
      <w:r>
        <w:t xml:space="preserve"> </w:t>
      </w:r>
      <w:r>
        <w:t xml:space="preserve">PT. Nusantara Chemical Engineering Solutions</w:t>
      </w:r>
    </w:p>
    <w:p>
      <w:pPr>
        <w:pStyle w:val="BodyText"/>
      </w:pPr>
      <w:r>
        <w:rPr>
          <w:bCs/>
          <w:b/>
        </w:rPr>
        <w:t xml:space="preserve">Account Number:</w:t>
      </w:r>
      <w:r>
        <w:t xml:space="preserve"> </w:t>
      </w:r>
      <w:r>
        <w:t xml:space="preserve">123-456-7890</w:t>
      </w:r>
    </w:p>
    <w:p>
      <w:pPr>
        <w:pStyle w:val="BodyText"/>
      </w:pPr>
      <w:r>
        <w:rPr>
          <w:bCs/>
          <w:b/>
        </w:rPr>
        <w:t xml:space="preserve">Branch:</w:t>
      </w:r>
      <w:r>
        <w:t xml:space="preserve"> </w:t>
      </w:r>
      <w:r>
        <w:t xml:space="preserve">Jakarta Sudirman</w:t>
      </w:r>
    </w:p>
    <w:p>
      <w:pPr>
        <w:pStyle w:val="BodyText"/>
      </w:pPr>
      <w:r>
        <w:rPr>
          <w:bCs/>
          <w:b/>
        </w:rPr>
        <w:t xml:space="preserve">SWIFT Code:</w:t>
      </w:r>
      <w:r>
        <w:t xml:space="preserve"> </w:t>
      </w:r>
      <w:r>
        <w:t xml:space="preserve">CENAIDJA</w:t>
      </w:r>
    </w:p>
    <w:p>
      <w:pPr>
        <w:pStyle w:val="BodyText"/>
      </w:pPr>
      <w:r>
        <w:t xml:space="preserve">Please reference Invoice Number INV-JKT-CE-2024-0847 in your payment transfer. For international payments, please contact our finance department for additional banking details.</w:t>
      </w:r>
    </w:p>
    <w:bookmarkEnd w:id="24"/>
    <w:bookmarkStart w:id="25" w:name="terms-and-conditions"/>
    <w:p>
      <w:pPr>
        <w:pStyle w:val="Heading3"/>
      </w:pPr>
      <w:r>
        <w:t xml:space="preserve">TERMS AND CONDITIONS:</w:t>
      </w:r>
    </w:p>
    <w:p>
      <w:pPr>
        <w:numPr>
          <w:ilvl w:val="0"/>
          <w:numId w:val="1001"/>
        </w:numPr>
        <w:pStyle w:val="Compact"/>
      </w:pPr>
      <w:r>
        <w:t xml:space="preserve">All Chemical Engineer services described in this Invoice have been completed and approved by the client's project manager as of the date of issue.</w:t>
      </w:r>
    </w:p>
    <w:p>
      <w:pPr>
        <w:numPr>
          <w:ilvl w:val="0"/>
          <w:numId w:val="1001"/>
        </w:numPr>
        <w:pStyle w:val="Compact"/>
      </w:pPr>
      <w:r>
        <w:t xml:space="preserve">Payment is due within thirty (30) days from the Invoice date. Late payments will incur a penalty of 2% per month on the outstanding balance.</w:t>
      </w:r>
    </w:p>
    <w:p>
      <w:pPr>
        <w:numPr>
          <w:ilvl w:val="0"/>
          <w:numId w:val="1001"/>
        </w:numPr>
        <w:pStyle w:val="Compact"/>
      </w:pPr>
      <w:r>
        <w:t xml:space="preserve">This Invoice is subject to the laws and regulations of the Republic of Indonesia, specifically governing professional engineering services in Indonesia Jakarta.</w:t>
      </w:r>
    </w:p>
    <w:p>
      <w:pPr>
        <w:numPr>
          <w:ilvl w:val="0"/>
          <w:numId w:val="1001"/>
        </w:numPr>
        <w:pStyle w:val="Compact"/>
      </w:pPr>
      <w:r>
        <w:t xml:space="preserve">All technical data, process designs, and engineering calculations remain the intellectual property of PT. Nusantara Chemical Engineering Solutions until full payment is received.</w:t>
      </w:r>
    </w:p>
    <w:p>
      <w:pPr>
        <w:numPr>
          <w:ilvl w:val="0"/>
          <w:numId w:val="1001"/>
        </w:numPr>
        <w:pStyle w:val="Compact"/>
      </w:pPr>
      <w:r>
        <w:t xml:space="preserve">PPN (Pajak Pertambahan Nilai) is calculated at the current Indonesian rate of 11% as mandated by the Ministry of Finance.</w:t>
      </w:r>
    </w:p>
    <w:p>
      <w:pPr>
        <w:numPr>
          <w:ilvl w:val="0"/>
          <w:numId w:val="1001"/>
        </w:numPr>
        <w:pStyle w:val="Compact"/>
      </w:pPr>
      <w:r>
        <w:t xml:space="preserve">PPh 23 (Withholding Tax) of 2% has been deducted as required by Indonesian tax regulations for professional services.</w:t>
      </w:r>
    </w:p>
    <w:p>
      <w:pPr>
        <w:numPr>
          <w:ilvl w:val="0"/>
          <w:numId w:val="1001"/>
        </w:numPr>
        <w:pStyle w:val="Compact"/>
      </w:pPr>
      <w:r>
        <w:t xml:space="preserve">Any disputes arising from this Invoice shall be resolved through negotiation in good faith, and if necessary, through the courts of Jakarta, Indonesia.</w:t>
      </w:r>
    </w:p>
    <w:p>
      <w:pPr>
        <w:numPr>
          <w:ilvl w:val="0"/>
          <w:numId w:val="1001"/>
        </w:numPr>
        <w:pStyle w:val="Compact"/>
      </w:pPr>
      <w:r>
        <w:t xml:space="preserve">This Invoice is valid for sixty (60) days from the date of issue. After this period, a new Invoice may be issued.</w:t>
      </w:r>
    </w:p>
    <w:bookmarkEnd w:id="25"/>
    <w:p>
      <w:pPr>
        <w:pStyle w:val="FirstParagraph"/>
      </w:pPr>
      <w:r>
        <w:t xml:space="preserve">Authorized by:</w:t>
      </w:r>
    </w:p>
    <w:p>
      <w:pPr>
        <w:pStyle w:val="BodyText"/>
      </w:pPr>
      <w:r>
        <w:rPr>
          <w:bCs/>
          <w:b/>
        </w:rPr>
        <w:t xml:space="preserve">Dr. Ahmad Fauzi, M.Sc., ChE</w:t>
      </w:r>
      <w:r>
        <w:br/>
      </w:r>
      <w:r>
        <w:t xml:space="preserve">Chief Chemical Engineer</w:t>
      </w:r>
      <w:r>
        <w:br/>
      </w:r>
      <w:r>
        <w:t xml:space="preserve">PT. Nusantara Chemical Engineering Solutions</w:t>
      </w:r>
      <w:r>
        <w:br/>
      </w:r>
      <w:r>
        <w:t xml:space="preserve">Professional Engineer License No: KI-2019-0456</w:t>
      </w:r>
    </w:p>
    <w:p>
      <w:pPr>
        <w:pStyle w:val="BodyText"/>
      </w:pPr>
      <w:r>
        <w:t xml:space="preserve">Received and Accepted by:</w:t>
      </w:r>
    </w:p>
    <w:p>
      <w:pPr>
        <w:pStyle w:val="BodyText"/>
      </w:pPr>
      <w:r>
        <w:rPr>
          <w:bCs/>
          <w:b/>
        </w:rPr>
        <w:t xml:space="preserve">___________________________</w:t>
      </w:r>
      <w:r>
        <w:br/>
      </w:r>
      <w:r>
        <w:t xml:space="preserve">Name and Title</w:t>
      </w:r>
      <w:r>
        <w:br/>
      </w:r>
      <w:r>
        <w:t xml:space="preserve">PT. Indo Petrochemical Industries</w:t>
      </w:r>
      <w:r>
        <w:br/>
      </w:r>
      <w:r>
        <w:t xml:space="preserve">Date: _______________</w:t>
      </w:r>
    </w:p>
    <w:p>
      <w:pPr>
        <w:pStyle w:val="BodyText"/>
      </w:pPr>
      <w:r>
        <w:t xml:space="preserve">PT. Nusantara Chemical Engineering Solutions | Jl. Sudirman Kav. 52-53, Jakarta Selatan, Indonesia Jakarta 12190</w:t>
      </w:r>
    </w:p>
    <w:p>
      <w:pPr>
        <w:pStyle w:val="BodyText"/>
      </w:pPr>
      <w:r>
        <w:t xml:space="preserve">Telp: +62 21 5794 8800 | Email: billing@nusantarakimia.co.id | Website: www.nusantarakimia.co.id</w:t>
      </w:r>
    </w:p>
    <w:p>
      <w:pPr>
        <w:pStyle w:val="BodyText"/>
      </w:pPr>
      <w:r>
        <w:t xml:space="preserve">Thank you for your business. We appreciate your trust in our Chemical Engineering expertise.</w:t>
      </w:r>
    </w:p>
    <w:p>
      <w:pPr>
        <w:pStyle w:val="BodyText"/>
      </w:pP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2026-10-10T07:33:54Z</dcterms:created>
  <dcterms:modified xsi:type="dcterms:W3CDTF">2026-10-10T07:33:54Z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