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Chemical</w:t>
      </w:r>
      <w:r>
        <w:t xml:space="preserve"> </w:t>
      </w:r>
      <w:r>
        <w:t xml:space="preserve">Engineering</w:t>
      </w:r>
      <w:r>
        <w:t xml:space="preserve"> </w:t>
      </w:r>
      <w:r>
        <w:t xml:space="preserve">Services</w:t>
      </w:r>
      <w:r>
        <w:t xml:space="preserve"> </w:t>
      </w:r>
      <w:r>
        <w:t xml:space="preserve">-</w:t>
      </w:r>
      <w:r>
        <w:t xml:space="preserve"> </w:t>
      </w:r>
      <w:r>
        <w:t xml:space="preserve">Osaka,</w:t>
      </w:r>
      <w:r>
        <w:t xml:space="preserve"> </w:t>
      </w:r>
      <w:r>
        <w:t xml:space="preserve">Japan</w:t>
      </w:r>
    </w:p>
    <w:bookmarkStart w:id="20" w:name="osaka-advanced-chemical-solutions"/>
    <w:p>
      <w:pPr>
        <w:pStyle w:val="Heading1"/>
      </w:pPr>
      <w:r>
        <w:t xml:space="preserve">Osaka Advanced Chemical Solutions</w:t>
      </w:r>
    </w:p>
    <w:p>
      <w:pPr>
        <w:pStyle w:val="FirstParagraph"/>
      </w:pPr>
      <w:r>
        <w:rPr>
          <w:bCs/>
          <w:b/>
        </w:rPr>
        <w:t xml:space="preserve">Specialized Chemical Engineering Consultancy</w:t>
      </w:r>
    </w:p>
    <w:p>
      <w:pPr>
        <w:pStyle w:val="BodyText"/>
      </w:pPr>
      <w:r>
        <w:t xml:space="preserve">1-2-3 Nakanoshima, Kita-ku</w:t>
      </w:r>
    </w:p>
    <w:p>
      <w:pPr>
        <w:pStyle w:val="BodyText"/>
      </w:pPr>
      <w:r>
        <w:t xml:space="preserve">Osaka, Japan 530-0005</w:t>
      </w:r>
    </w:p>
    <w:p>
      <w:pPr>
        <w:pStyle w:val="BodyText"/>
      </w:pPr>
      <w:r>
        <w:t xml:space="preserve">Tel: +81-6-1234-5678 | Email: billing@osaka-chem-eng.jp</w:t>
      </w:r>
    </w:p>
    <w:p>
      <w:pPr>
        <w:pStyle w:val="BodyText"/>
      </w:pPr>
      <w:r>
        <w:t xml:space="preserve">Corporate Number: 1234567890123</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INV-2023-OSK-0892</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bookmarkEnd w:id="21"/>
    <w:bookmarkStart w:id="22" w:name="bill-to"/>
    <w:p>
      <w:pPr>
        <w:pStyle w:val="Heading3"/>
      </w:pPr>
      <w:r>
        <w:t xml:space="preserve">Bill To:</w:t>
      </w:r>
    </w:p>
    <w:p>
      <w:pPr>
        <w:pStyle w:val="FirstParagraph"/>
      </w:pPr>
      <w:r>
        <w:rPr>
          <w:bCs/>
          <w:b/>
        </w:rPr>
        <w:t xml:space="preserve">Kansai Petrochemical Industries Ltd.</w:t>
      </w:r>
    </w:p>
    <w:p>
      <w:pPr>
        <w:pStyle w:val="BodyText"/>
      </w:pPr>
      <w:r>
        <w:t xml:space="preserve">Attn: Procurement Department</w:t>
      </w:r>
    </w:p>
    <w:p>
      <w:pPr>
        <w:pStyle w:val="BodyText"/>
      </w:pPr>
      <w:r>
        <w:t xml:space="preserve">4-5-6 Shimaya, Konohana-ku</w:t>
      </w:r>
    </w:p>
    <w:p>
      <w:pPr>
        <w:pStyle w:val="BodyText"/>
      </w:pPr>
      <w:r>
        <w:t xml:space="preserve">Osaka, Japan 554-0024</w:t>
      </w:r>
    </w:p>
    <w:p>
      <w:pPr>
        <w:pStyle w:val="BodyText"/>
      </w:pPr>
      <w:r>
        <w:t xml:space="preserve">Japan</w:t>
      </w:r>
    </w:p>
    <w:bookmarkEnd w:id="22"/>
    <w:bookmarkStart w:id="23" w:name="project-reference"/>
    <w:p>
      <w:pPr>
        <w:pStyle w:val="Heading3"/>
      </w:pPr>
      <w:r>
        <w:t xml:space="preserve">Project Reference:</w:t>
      </w:r>
    </w:p>
    <w:p>
      <w:pPr>
        <w:pStyle w:val="FirstParagraph"/>
      </w:pPr>
      <w:r>
        <w:rPr>
          <w:bCs/>
          <w:b/>
        </w:rPr>
        <w:t xml:space="preserve">Project:</w:t>
      </w:r>
      <w:r>
        <w:t xml:space="preserve"> </w:t>
      </w:r>
      <w:r>
        <w:t xml:space="preserve">Reactor Optimization &amp; Safety Audit</w:t>
      </w:r>
    </w:p>
    <w:p>
      <w:pPr>
        <w:pStyle w:val="BodyText"/>
      </w:pPr>
      <w:r>
        <w:rPr>
          <w:bCs/>
          <w:b/>
        </w:rPr>
        <w:t xml:space="preserve">Location:</w:t>
      </w:r>
      <w:r>
        <w:t xml:space="preserve"> </w:t>
      </w:r>
      <w:r>
        <w:t xml:space="preserve">Port of Osaka Industrial Zone</w:t>
      </w:r>
    </w:p>
    <w:p>
      <w:pPr>
        <w:pStyle w:val="BodyText"/>
      </w:pPr>
      <w:r>
        <w:rPr>
          <w:bCs/>
          <w:b/>
        </w:rPr>
        <w:t xml:space="preserve">Service Period:</w:t>
      </w:r>
      <w:r>
        <w:t xml:space="preserve"> </w:t>
      </w:r>
      <w:r>
        <w:t xml:space="preserve">September 1, 2023 - October 15, 2023</w:t>
      </w:r>
    </w:p>
    <w:p>
      <w:pPr>
        <w:pStyle w:val="BodyText"/>
      </w:pPr>
      <w:r>
        <w:rPr>
          <w:bCs/>
          <w:b/>
        </w:rPr>
        <w:t xml:space="preserve">Currency:</w:t>
      </w:r>
      <w:r>
        <w:t xml:space="preserve"> </w:t>
      </w:r>
      <w:r>
        <w:t xml:space="preserve">Japanese Yen (JPY)</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Chemical Engineering Services</w:t>
            </w:r>
          </w:p>
        </w:tc>
        <w:tc>
          <w:tcPr/>
          <w:p>
            <w:pPr>
              <w:pStyle w:val="Compact"/>
              <w:jc w:val="left"/>
            </w:pPr>
            <w:r>
              <w:t xml:space="preserve">Quantity / Hours</w:t>
            </w:r>
          </w:p>
        </w:tc>
        <w:tc>
          <w:tcPr/>
          <w:p>
            <w:pPr>
              <w:pStyle w:val="Compact"/>
              <w:jc w:val="left"/>
            </w:pPr>
            <w:r>
              <w:t xml:space="preserve">Unit Rate (JPY)</w:t>
            </w:r>
          </w:p>
        </w:tc>
        <w:tc>
          <w:tcPr/>
          <w:p>
            <w:pPr>
              <w:pStyle w:val="Compact"/>
              <w:jc w:val="left"/>
            </w:pPr>
            <w:r>
              <w:t xml:space="preserve">Total Amount (JPY)</w:t>
            </w:r>
          </w:p>
        </w:tc>
      </w:tr>
      <w:tr>
        <w:tc>
          <w:tcPr/>
          <w:p>
            <w:pPr>
              <w:pStyle w:val="Compact"/>
              <w:jc w:val="left"/>
            </w:pPr>
            <w:r>
              <w:t xml:space="preserve">1</w:t>
            </w:r>
          </w:p>
        </w:tc>
        <w:tc>
          <w:tcPr/>
          <w:p>
            <w:pPr>
              <w:pStyle w:val="Compact"/>
              <w:jc w:val="left"/>
            </w:pPr>
            <w:r>
              <w:rPr>
                <w:bCs/>
                <w:b/>
              </w:rPr>
              <w:t xml:space="preserve">Senior Chemical Engineer Consultation:</w:t>
            </w:r>
            <w:r>
              <w:t xml:space="preserve"> </w:t>
            </w:r>
            <w:r>
              <w:t xml:space="preserve">Comprehensive analysis of exothermic reaction kinetics for the new polymerization unit. Includes thermodynamic modeling and heat transfer calculations tailored to the specific operational constraints of the Osaka facility.</w:t>
            </w:r>
          </w:p>
        </w:tc>
        <w:tc>
          <w:tcPr/>
          <w:p>
            <w:pPr>
              <w:pStyle w:val="Compact"/>
              <w:jc w:val="left"/>
            </w:pPr>
            <w:r>
              <w:t xml:space="preserve">40.0</w:t>
            </w:r>
          </w:p>
        </w:tc>
        <w:tc>
          <w:tcPr/>
          <w:p>
            <w:pPr>
              <w:pStyle w:val="Compact"/>
              <w:jc w:val="left"/>
            </w:pPr>
            <w:r>
              <w:t xml:space="preserve">¥25,000</w:t>
            </w:r>
          </w:p>
        </w:tc>
        <w:tc>
          <w:tcPr/>
          <w:p>
            <w:pPr>
              <w:pStyle w:val="Compact"/>
              <w:jc w:val="left"/>
            </w:pPr>
            <w:r>
              <w:t xml:space="preserve">¥1,000,000</w:t>
            </w:r>
          </w:p>
        </w:tc>
      </w:tr>
      <w:tr>
        <w:tc>
          <w:tcPr/>
          <w:p>
            <w:pPr>
              <w:pStyle w:val="Compact"/>
              <w:jc w:val="left"/>
            </w:pPr>
            <w:r>
              <w:t xml:space="preserve">2</w:t>
            </w:r>
          </w:p>
        </w:tc>
        <w:tc>
          <w:tcPr/>
          <w:p>
            <w:pPr>
              <w:pStyle w:val="Compact"/>
              <w:jc w:val="left"/>
            </w:pPr>
            <w:r>
              <w:rPr>
                <w:bCs/>
                <w:b/>
              </w:rPr>
              <w:t xml:space="preserve">Process Safety Management (PSM) Audit:</w:t>
            </w:r>
            <w:r>
              <w:t xml:space="preserve"> </w:t>
            </w:r>
            <w:r>
              <w:t xml:space="preserve">On-site inspection and hazard analysis (HAZOP) conducted by a certified Chemical Engineer. Evaluation of pressure relief systems and emergency shutdown protocols in compliance with Japanese Ministry of Economy, Trade and Industry (METI) regulations.</w:t>
            </w:r>
          </w:p>
        </w:tc>
        <w:tc>
          <w:tcPr/>
          <w:p>
            <w:pPr>
              <w:pStyle w:val="Compact"/>
              <w:jc w:val="left"/>
            </w:pPr>
            <w:r>
              <w:t xml:space="preserve">1.0</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3</w:t>
            </w:r>
          </w:p>
        </w:tc>
        <w:tc>
          <w:tcPr/>
          <w:p>
            <w:pPr>
              <w:pStyle w:val="Compact"/>
              <w:jc w:val="left"/>
            </w:pPr>
            <w:r>
              <w:rPr>
                <w:bCs/>
                <w:b/>
              </w:rPr>
              <w:t xml:space="preserve">Fluid Dynamics Simulation (CFD):</w:t>
            </w:r>
            <w:r>
              <w:t xml:space="preserve"> </w:t>
            </w:r>
            <w:r>
              <w:t xml:space="preserve">Computational Fluid Dynamics modeling to optimize mixing efficiency in the main reactor vessel. This service reduces turbulence-induced wear and improves product homogeneity, specifically adapted for the high-viscosity fluids processed in Japan Osaka.</w:t>
            </w:r>
          </w:p>
        </w:tc>
        <w:tc>
          <w:tcPr/>
          <w:p>
            <w:pPr>
              <w:pStyle w:val="Compact"/>
              <w:jc w:val="left"/>
            </w:pPr>
            <w:r>
              <w:t xml:space="preserve">20.0</w:t>
            </w:r>
          </w:p>
        </w:tc>
        <w:tc>
          <w:tcPr/>
          <w:p>
            <w:pPr>
              <w:pStyle w:val="Compact"/>
              <w:jc w:val="left"/>
            </w:pPr>
            <w:r>
              <w:t xml:space="preserve">¥18,000</w:t>
            </w:r>
          </w:p>
        </w:tc>
        <w:tc>
          <w:tcPr/>
          <w:p>
            <w:pPr>
              <w:pStyle w:val="Compact"/>
              <w:jc w:val="left"/>
            </w:pPr>
            <w:r>
              <w:t xml:space="preserve">¥360,000</w:t>
            </w:r>
          </w:p>
        </w:tc>
      </w:tr>
      <w:tr>
        <w:tc>
          <w:tcPr/>
          <w:p>
            <w:pPr>
              <w:pStyle w:val="Compact"/>
              <w:jc w:val="left"/>
            </w:pPr>
            <w:r>
              <w:t xml:space="preserve">4</w:t>
            </w:r>
          </w:p>
        </w:tc>
        <w:tc>
          <w:tcPr/>
          <w:p>
            <w:pPr>
              <w:pStyle w:val="Compact"/>
              <w:jc w:val="left"/>
            </w:pPr>
            <w:r>
              <w:rPr>
                <w:bCs/>
                <w:b/>
              </w:rPr>
              <w:t xml:space="preserve">Waste Treatment System Design:</w:t>
            </w:r>
            <w:r>
              <w:t xml:space="preserve"> </w:t>
            </w:r>
            <w:r>
              <w:t xml:space="preserve">Engineering design for a new effluent treatment plant to handle organic solvents. Includes mass balance calculations and selection of appropriate biological treatment processes to meet Osaka City environmental discharge standards.</w:t>
            </w:r>
          </w:p>
        </w:tc>
        <w:tc>
          <w:tcPr/>
          <w:p>
            <w:pPr>
              <w:pStyle w:val="Compact"/>
              <w:jc w:val="left"/>
            </w:pPr>
            <w:r>
              <w:t xml:space="preserve">35.0</w:t>
            </w:r>
          </w:p>
        </w:tc>
        <w:tc>
          <w:tcPr/>
          <w:p>
            <w:pPr>
              <w:pStyle w:val="Compact"/>
              <w:jc w:val="left"/>
            </w:pPr>
            <w:r>
              <w:t xml:space="preserve">¥22,000</w:t>
            </w:r>
          </w:p>
        </w:tc>
        <w:tc>
          <w:tcPr/>
          <w:p>
            <w:pPr>
              <w:pStyle w:val="Compact"/>
              <w:jc w:val="left"/>
            </w:pPr>
            <w:r>
              <w:t xml:space="preserve">¥770,000</w:t>
            </w:r>
          </w:p>
        </w:tc>
      </w:tr>
      <w:tr>
        <w:tc>
          <w:tcPr/>
          <w:p>
            <w:pPr>
              <w:pStyle w:val="Compact"/>
              <w:jc w:val="left"/>
            </w:pPr>
            <w:r>
              <w:t xml:space="preserve">5</w:t>
            </w:r>
          </w:p>
        </w:tc>
        <w:tc>
          <w:tcPr/>
          <w:p>
            <w:pPr>
              <w:pStyle w:val="Compact"/>
              <w:jc w:val="left"/>
            </w:pPr>
            <w:r>
              <w:rPr>
                <w:bCs/>
                <w:b/>
              </w:rPr>
              <w:t xml:space="preserve">Technical Reporting &amp; Documentation:</w:t>
            </w:r>
            <w:r>
              <w:t xml:space="preserve"> </w:t>
            </w:r>
            <w:r>
              <w:t xml:space="preserve">Preparation of detailed engineering reports, P&amp;ID updates, and safety data sheets (SDS) in both English and Japanese. Documentation ensures full regulatory compliance for operations within the Kansai region.</w:t>
            </w:r>
          </w:p>
        </w:tc>
        <w:tc>
          <w:tcPr/>
          <w:p>
            <w:pPr>
              <w:pStyle w:val="Compact"/>
              <w:jc w:val="left"/>
            </w:pPr>
            <w:r>
              <w:t xml:space="preserve">15.0</w:t>
            </w:r>
          </w:p>
        </w:tc>
        <w:tc>
          <w:tcPr/>
          <w:p>
            <w:pPr>
              <w:pStyle w:val="Compact"/>
              <w:jc w:val="left"/>
            </w:pPr>
            <w:r>
              <w:t xml:space="preserve">¥15,000</w:t>
            </w:r>
          </w:p>
        </w:tc>
        <w:tc>
          <w:tcPr/>
          <w:p>
            <w:pPr>
              <w:pStyle w:val="Compact"/>
              <w:jc w:val="left"/>
            </w:pPr>
            <w:r>
              <w:t xml:space="preserve">¥225,000</w:t>
            </w:r>
          </w:p>
        </w:tc>
      </w:tr>
    </w:tbl>
    <w:p>
      <w:pPr>
        <w:pStyle w:val="BodyText"/>
      </w:pPr>
      <w:r>
        <w:t xml:space="preserve">Subtotal:</w:t>
      </w:r>
      <w:r>
        <w:t xml:space="preserve"> </w:t>
      </w:r>
      <w:r>
        <w:t xml:space="preserve">¥2,805,000</w:t>
      </w:r>
    </w:p>
    <w:p>
      <w:pPr>
        <w:pStyle w:val="BodyText"/>
      </w:pPr>
      <w:r>
        <w:t xml:space="preserve">Consumption Tax (10%):</w:t>
      </w:r>
      <w:r>
        <w:t xml:space="preserve"> </w:t>
      </w:r>
      <w:r>
        <w:t xml:space="preserve">¥280,500</w:t>
      </w:r>
    </w:p>
    <w:p>
      <w:pPr>
        <w:pStyle w:val="BodyText"/>
      </w:pPr>
      <w:r>
        <w:t xml:space="preserve">TOTAL DUE:</w:t>
      </w:r>
      <w:r>
        <w:t xml:space="preserve"> </w:t>
      </w:r>
      <w:r>
        <w:t xml:space="preserve">¥3,085,500</w:t>
      </w:r>
    </w:p>
    <w:bookmarkStart w:id="24" w:name="payment-instructions-terms"/>
    <w:p>
      <w:pPr>
        <w:pStyle w:val="Heading4"/>
      </w:pPr>
      <w:r>
        <w:t xml:space="preserve">Payment Instructions &amp; Terms</w:t>
      </w:r>
    </w:p>
    <w:p>
      <w:pPr>
        <w:pStyle w:val="FirstParagraph"/>
      </w:pPr>
      <w:r>
        <w:rPr>
          <w:bCs/>
          <w:b/>
        </w:rPr>
        <w:t xml:space="preserve">Bank Transfer Details:</w:t>
      </w:r>
    </w:p>
    <w:p>
      <w:pPr>
        <w:pStyle w:val="BodyText"/>
      </w:pPr>
      <w:r>
        <w:t xml:space="preserve">Bank Name: Mizuho Bank, Ltd.</w:t>
      </w:r>
    </w:p>
    <w:p>
      <w:pPr>
        <w:pStyle w:val="BodyText"/>
      </w:pPr>
      <w:r>
        <w:t xml:space="preserve">Branch: Nakanoshima Branch (Osaka)</w:t>
      </w:r>
    </w:p>
    <w:p>
      <w:pPr>
        <w:pStyle w:val="BodyText"/>
      </w:pPr>
      <w:r>
        <w:t xml:space="preserve">Account Type: Ordinary Account</w:t>
      </w:r>
    </w:p>
    <w:p>
      <w:pPr>
        <w:pStyle w:val="BodyText"/>
      </w:pPr>
      <w:r>
        <w:t xml:space="preserve">Account Number: 1234567</w:t>
      </w:r>
    </w:p>
    <w:p>
      <w:pPr>
        <w:pStyle w:val="BodyText"/>
      </w:pPr>
      <w:r>
        <w:t xml:space="preserve">Account Name: Osaka Advanced Chemical Solutions</w:t>
      </w:r>
    </w:p>
    <w:p>
      <w:pPr>
        <w:pStyle w:val="BodyText"/>
      </w:pPr>
      <w:r>
        <w:t xml:space="preserve">SWIFT Code: MHCBJPJT</w:t>
      </w:r>
    </w:p>
    <w:p>
      <w:pPr>
        <w:pStyle w:val="BodyText"/>
      </w:pPr>
      <w:r>
        <w:rPr>
          <w:bCs/>
          <w:b/>
        </w:rPr>
        <w:t xml:space="preserve">Terms:</w:t>
      </w:r>
    </w:p>
    <w:p>
      <w:pPr>
        <w:pStyle w:val="BodyText"/>
      </w:pPr>
      <w:r>
        <w:t xml:space="preserve">Payment is due within 30 days of the invoice date. Please include the Invoice Number (INV-2023-OSK-0892) in the payment reference. Late payments may incur a penalty interest rate of 1.5% per month. This Invoice serves as a formal request for payment for professional Chemical Engineering services rendered in Japan Osaka. All calculations and engineering advice provided are based on current industry standards and local regulations applicable to the Osaka prefecture.</w:t>
      </w:r>
    </w:p>
    <w:bookmarkEnd w:id="24"/>
    <w:p>
      <w:pPr>
        <w:pStyle w:val="BodyText"/>
      </w:pPr>
      <w:r>
        <w:t xml:space="preserve">Thank you for your business. We appreciate your trust in our Chemical Engineering expertise.</w:t>
      </w:r>
    </w:p>
    <w:p>
      <w:pPr>
        <w:pStyle w:val="BodyText"/>
      </w:pPr>
      <w:r>
        <w:t xml:space="preserve">Osaka Advanced Chemical Solutions | 1-2-3 Nakanoshima, Kita-ku, Osaka, Japan</w:t>
      </w:r>
    </w:p>
    <w:p>
      <w:pPr>
        <w:pStyle w:val="BodyText"/>
      </w:pPr>
      <w:r>
        <w:t xml:space="preserve">This document is generated electronically and is valid without a physical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Chemical Engineering Services - Osaka, Japan</dc:title>
  <dc:creator/>
  <dc:language>en</dc:language>
  <cp:keywords/>
  <dcterms:created xsi:type="dcterms:W3CDTF">2026-10-10T06:48:56Z</dcterms:created>
  <dcterms:modified xsi:type="dcterms:W3CDTF">2026-10-10T06:48:56Z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