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Chemical</w:t>
      </w:r>
      <w:r>
        <w:t xml:space="preserve"> </w:t>
      </w:r>
      <w:r>
        <w:t xml:space="preserve">Engineering</w:t>
      </w:r>
      <w:r>
        <w:t xml:space="preserve"> </w:t>
      </w:r>
      <w:r>
        <w:t xml:space="preserve">Services</w:t>
      </w:r>
    </w:p>
    <w:bookmarkStart w:id="20" w:name="apex-chemical-solutions-sdn-bhd"/>
    <w:p>
      <w:pPr>
        <w:pStyle w:val="Heading1"/>
      </w:pPr>
      <w:r>
        <w:t xml:space="preserve">Apex Chemical Solutions Sdn Bhd</w:t>
      </w:r>
    </w:p>
    <w:p>
      <w:pPr>
        <w:pStyle w:val="FirstParagraph"/>
      </w:pPr>
      <w:r>
        <w:t xml:space="preserve">No. 12, Jalan Teknologi 3/5,</w:t>
      </w:r>
      <w:r>
        <w:br/>
      </w:r>
      <w:r>
        <w:t xml:space="preserve">Taman Sains Selangor 1,</w:t>
      </w:r>
      <w:r>
        <w:br/>
      </w:r>
      <w:r>
        <w:t xml:space="preserve">47810 Petaling Jaya,</w:t>
      </w:r>
      <w:r>
        <w:br/>
      </w:r>
      <w:r>
        <w:t xml:space="preserve">Selangor, Malaysia</w:t>
      </w:r>
    </w:p>
    <w:p>
      <w:pPr>
        <w:pStyle w:val="BodyText"/>
      </w:pPr>
      <w:r>
        <w:t xml:space="preserve">Phone: +603-5555 8888</w:t>
      </w:r>
      <w:r>
        <w:br/>
      </w:r>
      <w:r>
        <w:t xml:space="preserve">Email: accounts@apexchemicals.my</w:t>
      </w:r>
      <w:r>
        <w:br/>
      </w:r>
      <w:r>
        <w:t xml:space="preserve">Company Reg: 201501012345 (1234567-X)</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ACS-2023-10-045</w:t>
      </w:r>
    </w:p>
    <w:p>
      <w:pPr>
        <w:pStyle w:val="BodyText"/>
      </w:pPr>
      <w:r>
        <w:rPr>
          <w:bCs/>
          <w:b/>
        </w:rPr>
        <w:t xml:space="preserve">Date:</w:t>
      </w:r>
      <w:r>
        <w:t xml:space="preserve"> </w:t>
      </w:r>
      <w:r>
        <w:t xml:space="preserve">24 October 2023</w:t>
      </w:r>
    </w:p>
    <w:p>
      <w:pPr>
        <w:pStyle w:val="BodyText"/>
      </w:pPr>
      <w:r>
        <w:rPr>
          <w:bCs/>
          <w:b/>
        </w:rPr>
        <w:t xml:space="preserve">Due Date:</w:t>
      </w:r>
      <w:r>
        <w:t xml:space="preserve"> </w:t>
      </w:r>
      <w:r>
        <w:t xml:space="preserve">23 November 2023</w:t>
      </w:r>
    </w:p>
    <w:bookmarkEnd w:id="21"/>
    <w:bookmarkStart w:id="22" w:name="bill-from-service-provider"/>
    <w:p>
      <w:pPr>
        <w:pStyle w:val="Heading3"/>
      </w:pPr>
      <w:r>
        <w:t xml:space="preserve">Bill From (Service Provider)</w:t>
      </w:r>
    </w:p>
    <w:p>
      <w:pPr>
        <w:pStyle w:val="FirstParagraph"/>
      </w:pPr>
      <w:r>
        <w:rPr>
          <w:bCs/>
          <w:b/>
        </w:rPr>
        <w:t xml:space="preserve">Apex Chemical Solutions Sdn Bhd</w:t>
      </w:r>
      <w:r>
        <w:br/>
      </w:r>
      <w:r>
        <w:t xml:space="preserve">Attention: Lead Chemical Engineer</w:t>
      </w:r>
      <w:r>
        <w:br/>
      </w:r>
      <w:r>
        <w:t xml:space="preserve">Project: KL Industrial Park Optimization</w:t>
      </w:r>
    </w:p>
    <w:bookmarkEnd w:id="22"/>
    <w:bookmarkStart w:id="23" w:name="bill-to-client"/>
    <w:p>
      <w:pPr>
        <w:pStyle w:val="Heading3"/>
      </w:pPr>
      <w:r>
        <w:t xml:space="preserve">Bill To (Client)</w:t>
      </w:r>
    </w:p>
    <w:p>
      <w:pPr>
        <w:pStyle w:val="FirstParagraph"/>
      </w:pPr>
      <w:r>
        <w:rPr>
          <w:bCs/>
          <w:b/>
        </w:rPr>
        <w:t xml:space="preserve">PetroChem Industries (KL) Sdn Bhd</w:t>
      </w:r>
      <w:r>
        <w:br/>
      </w:r>
      <w:r>
        <w:t xml:space="preserve">No. 88, Jalan Sultan Ismail,</w:t>
      </w:r>
      <w:r>
        <w:br/>
      </w:r>
      <w:r>
        <w:t xml:space="preserve">50250 Kuala Lumpur,</w:t>
      </w:r>
      <w:r>
        <w:br/>
      </w:r>
      <w:r>
        <w:t xml:space="preserve">Malaysia</w:t>
      </w:r>
      <w:r>
        <w:br/>
      </w:r>
      <w:r>
        <w:t xml:space="preserve">Attn: Procurement Department</w:t>
      </w:r>
    </w:p>
    <w:bookmarkEnd w:id="23"/>
    <w:bookmarkStart w:id="24" w:name="X7319060c1405162867c227ec4b73429982cd751"/>
    <w:p>
      <w:pPr>
        <w:pStyle w:val="Heading4"/>
      </w:pPr>
      <w:r>
        <w:t xml:space="preserve">Project Scope: Process Optimization in Malaysia Kuala Lumpur</w:t>
      </w:r>
    </w:p>
    <w:p>
      <w:pPr>
        <w:pStyle w:val="FirstParagraph"/>
      </w:pPr>
      <w:r>
        <w:t xml:space="preserve">This Invoice details the professional services rendered by a senior Chemical Engineer specializing in process safety and efficiency. The work was conducted specifically within the industrial zones of Malaysia Kuala Lumpur, adhering to the strict regulatory frameworks set by the Department of Environment (DOE) Malaysia and the Department of Occupational Safety and Health (DOSH). The scope included the analysis of reaction kinetics, heat exchanger network optimization, and waste stream minimization for the client's manufacturing facility located in the heart of the Kuala Lumpur metropolitan industrial sector.</w:t>
      </w:r>
    </w:p>
    <w:bookmarkEnd w:id="24"/>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Rate (MYR)</w:t>
            </w:r>
          </w:p>
        </w:tc>
        <w:tc>
          <w:tcPr/>
          <w:p>
            <w:pPr>
              <w:pStyle w:val="Compact"/>
              <w:jc w:val="left"/>
            </w:pPr>
            <w:r>
              <w:t xml:space="preserve">Total (MYR)</w:t>
            </w:r>
          </w:p>
        </w:tc>
      </w:tr>
      <w:tr>
        <w:tc>
          <w:tcPr/>
          <w:p>
            <w:pPr>
              <w:pStyle w:val="Compact"/>
              <w:jc w:val="left"/>
            </w:pPr>
            <w:r>
              <w:t xml:space="preserve">1</w:t>
            </w:r>
          </w:p>
        </w:tc>
        <w:tc>
          <w:tcPr/>
          <w:p>
            <w:pPr>
              <w:pStyle w:val="Compact"/>
              <w:jc w:val="left"/>
            </w:pPr>
            <w:r>
              <w:rPr>
                <w:bCs/>
                <w:b/>
              </w:rPr>
              <w:t xml:space="preserve">Site Audit &amp; Process Analysis (Kuala Lumpur Facility)</w:t>
            </w:r>
            <w:r>
              <w:br/>
            </w:r>
            <w:r>
              <w:t xml:space="preserve">Comprehensive on-site evaluation of chemical processing units. The Chemical Engineer performed mass and energy balance calculations to identify inefficiencies in the current distillation columns. This service ensures compliance with local Malaysian environmental standards regarding volatile organic compound (VOC) emissions.</w:t>
            </w:r>
          </w:p>
        </w:tc>
        <w:tc>
          <w:tcPr/>
          <w:p>
            <w:pPr>
              <w:pStyle w:val="Compact"/>
              <w:jc w:val="left"/>
            </w:pPr>
            <w:r>
              <w:t xml:space="preserve">40</w:t>
            </w:r>
          </w:p>
        </w:tc>
        <w:tc>
          <w:tcPr/>
          <w:p>
            <w:pPr>
              <w:pStyle w:val="Compact"/>
              <w:jc w:val="left"/>
            </w:pPr>
            <w:r>
              <w:t xml:space="preserve">350.00</w:t>
            </w:r>
          </w:p>
        </w:tc>
        <w:tc>
          <w:tcPr/>
          <w:p>
            <w:pPr>
              <w:pStyle w:val="Compact"/>
              <w:jc w:val="left"/>
            </w:pPr>
            <w:r>
              <w:t xml:space="preserve">14,000.00</w:t>
            </w:r>
          </w:p>
        </w:tc>
      </w:tr>
      <w:tr>
        <w:tc>
          <w:tcPr/>
          <w:p>
            <w:pPr>
              <w:pStyle w:val="Compact"/>
              <w:jc w:val="left"/>
            </w:pPr>
            <w:r>
              <w:t xml:space="preserve">2</w:t>
            </w:r>
          </w:p>
        </w:tc>
        <w:tc>
          <w:tcPr/>
          <w:p>
            <w:pPr>
              <w:pStyle w:val="Compact"/>
              <w:jc w:val="left"/>
            </w:pPr>
            <w:r>
              <w:rPr>
                <w:bCs/>
                <w:b/>
              </w:rPr>
              <w:t xml:space="preserve">Thermodynamic Simulation &amp; Modeling</w:t>
            </w:r>
            <w:r>
              <w:br/>
            </w:r>
            <w:r>
              <w:t xml:space="preserve">Advanced simulation using Aspen HYSYS to model reactor performance under varying conditions specific to the tropical climate of Malaysia Kuala Lumpur. This analysis optimizes cooling water requirements and reduces energy consumption by 12%.</w:t>
            </w:r>
          </w:p>
        </w:tc>
        <w:tc>
          <w:tcPr/>
          <w:p>
            <w:pPr>
              <w:pStyle w:val="Compact"/>
              <w:jc w:val="left"/>
            </w:pPr>
            <w:r>
              <w:t xml:space="preserve">25</w:t>
            </w:r>
          </w:p>
        </w:tc>
        <w:tc>
          <w:tcPr/>
          <w:p>
            <w:pPr>
              <w:pStyle w:val="Compact"/>
              <w:jc w:val="left"/>
            </w:pPr>
            <w:r>
              <w:t xml:space="preserve">400.00</w:t>
            </w:r>
          </w:p>
        </w:tc>
        <w:tc>
          <w:tcPr/>
          <w:p>
            <w:pPr>
              <w:pStyle w:val="Compact"/>
              <w:jc w:val="left"/>
            </w:pPr>
            <w:r>
              <w:t xml:space="preserve">10,000.00</w:t>
            </w:r>
          </w:p>
        </w:tc>
      </w:tr>
      <w:tr>
        <w:tc>
          <w:tcPr/>
          <w:p>
            <w:pPr>
              <w:pStyle w:val="Compact"/>
              <w:jc w:val="left"/>
            </w:pPr>
            <w:r>
              <w:t xml:space="preserve">3</w:t>
            </w:r>
          </w:p>
        </w:tc>
        <w:tc>
          <w:tcPr/>
          <w:p>
            <w:pPr>
              <w:pStyle w:val="Compact"/>
              <w:jc w:val="left"/>
            </w:pPr>
            <w:r>
              <w:rPr>
                <w:bCs/>
                <w:b/>
              </w:rPr>
              <w:t xml:space="preserve">Safety Data Sheet (SDS) Review &amp; Hazard Analysis</w:t>
            </w:r>
            <w:r>
              <w:br/>
            </w:r>
            <w:r>
              <w:t xml:space="preserve">Review of chemical inventory and update of Safety Data Sheets in accordance with Malaysian regulations. Conducted a Hazard and Operability Study (HAZOP) to mitigate risks associated with high-pressure chemical storage.</w:t>
            </w:r>
          </w:p>
        </w:tc>
        <w:tc>
          <w:tcPr/>
          <w:p>
            <w:pPr>
              <w:pStyle w:val="Compact"/>
              <w:jc w:val="left"/>
            </w:pPr>
            <w:r>
              <w:t xml:space="preserve">15</w:t>
            </w:r>
          </w:p>
        </w:tc>
        <w:tc>
          <w:tcPr/>
          <w:p>
            <w:pPr>
              <w:pStyle w:val="Compact"/>
              <w:jc w:val="left"/>
            </w:pPr>
            <w:r>
              <w:t xml:space="preserve">350.00</w:t>
            </w:r>
          </w:p>
        </w:tc>
        <w:tc>
          <w:tcPr/>
          <w:p>
            <w:pPr>
              <w:pStyle w:val="Compact"/>
              <w:jc w:val="left"/>
            </w:pPr>
            <w:r>
              <w:t xml:space="preserve">5,250.00</w:t>
            </w:r>
          </w:p>
        </w:tc>
      </w:tr>
      <w:tr>
        <w:tc>
          <w:tcPr/>
          <w:p>
            <w:pPr>
              <w:pStyle w:val="Compact"/>
              <w:jc w:val="left"/>
            </w:pPr>
            <w:r>
              <w:t xml:space="preserve">4</w:t>
            </w:r>
          </w:p>
        </w:tc>
        <w:tc>
          <w:tcPr/>
          <w:p>
            <w:pPr>
              <w:pStyle w:val="Compact"/>
              <w:jc w:val="left"/>
            </w:pPr>
            <w:r>
              <w:rPr>
                <w:bCs/>
                <w:b/>
              </w:rPr>
              <w:t xml:space="preserve">Technical Reporting &amp; Regulatory Compliance</w:t>
            </w:r>
            <w:r>
              <w:br/>
            </w:r>
            <w:r>
              <w:t xml:space="preserve">Preparation of detailed engineering reports for submission to relevant authorities in Kuala Lumpur. Documentation includes waste management plans and emission control strategies tailored to the specific location.</w:t>
            </w:r>
          </w:p>
        </w:tc>
        <w:tc>
          <w:tcPr/>
          <w:p>
            <w:pPr>
              <w:pStyle w:val="Compact"/>
              <w:jc w:val="left"/>
            </w:pPr>
            <w:r>
              <w:t xml:space="preserve">10</w:t>
            </w:r>
          </w:p>
        </w:tc>
        <w:tc>
          <w:tcPr/>
          <w:p>
            <w:pPr>
              <w:pStyle w:val="Compact"/>
              <w:jc w:val="left"/>
            </w:pPr>
            <w:r>
              <w:t xml:space="preserve">300.00</w:t>
            </w:r>
          </w:p>
        </w:tc>
        <w:tc>
          <w:tcPr/>
          <w:p>
            <w:pPr>
              <w:pStyle w:val="Compact"/>
              <w:jc w:val="left"/>
            </w:pPr>
            <w:r>
              <w:t xml:space="preserve">3,000.00</w:t>
            </w:r>
          </w:p>
        </w:tc>
      </w:tr>
    </w:tbl>
    <w:p>
      <w:pPr>
        <w:pStyle w:val="BodyText"/>
      </w:pPr>
      <w:r>
        <w:t xml:space="preserve">Subtotal:</w:t>
      </w:r>
      <w:r>
        <w:t xml:space="preserve"> </w:t>
      </w:r>
      <w:r>
        <w:t xml:space="preserve">MYR 32,250.00</w:t>
      </w:r>
    </w:p>
    <w:p>
      <w:pPr>
        <w:pStyle w:val="BodyText"/>
      </w:pPr>
      <w:r>
        <w:t xml:space="preserve">SST (6%):</w:t>
      </w:r>
      <w:r>
        <w:t xml:space="preserve"> </w:t>
      </w:r>
      <w:r>
        <w:t xml:space="preserve">MYR 1,935.00</w:t>
      </w:r>
    </w:p>
    <w:p>
      <w:pPr>
        <w:pStyle w:val="BodyText"/>
      </w:pPr>
      <w:r>
        <w:t xml:space="preserve">Total Due:</w:t>
      </w:r>
      <w:r>
        <w:t xml:space="preserve"> </w:t>
      </w:r>
      <w:r>
        <w:t xml:space="preserve">MYR 34,185.00</w:t>
      </w:r>
    </w:p>
    <w:bookmarkStart w:id="25" w:name="payment-terms-conditions"/>
    <w:p>
      <w:pPr>
        <w:pStyle w:val="Heading4"/>
      </w:pPr>
      <w:r>
        <w:t xml:space="preserve">Payment Terms &amp; Conditions</w:t>
      </w:r>
    </w:p>
    <w:p>
      <w:pPr>
        <w:pStyle w:val="FirstParagraph"/>
      </w:pPr>
      <w:r>
        <w:rPr>
          <w:bCs/>
          <w:b/>
        </w:rPr>
        <w:t xml:space="preserve">1. Payment Method:</w:t>
      </w:r>
      <w:r>
        <w:t xml:space="preserve"> </w:t>
      </w:r>
      <w:r>
        <w:t xml:space="preserve">Payment is to be made via bank transfer to the following account:</w:t>
      </w:r>
      <w:r>
        <w:br/>
      </w:r>
      <w:r>
        <w:t xml:space="preserve">Bank: Maybank Berhad</w:t>
      </w:r>
      <w:r>
        <w:br/>
      </w:r>
      <w:r>
        <w:t xml:space="preserve">Account Name: Apex Chemical Solutions Sdn Bhd</w:t>
      </w:r>
      <w:r>
        <w:br/>
      </w:r>
      <w:r>
        <w:t xml:space="preserve">Account Number: 5555 8888 9999</w:t>
      </w:r>
      <w:r>
        <w:br/>
      </w:r>
      <w:r>
        <w:t xml:space="preserve">Branch: Kuala Lumpur City Centre</w:t>
      </w:r>
    </w:p>
    <w:p>
      <w:pPr>
        <w:pStyle w:val="BodyText"/>
      </w:pPr>
      <w:r>
        <w:rPr>
          <w:bCs/>
          <w:b/>
        </w:rPr>
        <w:t xml:space="preserve">2. Due Date:</w:t>
      </w:r>
      <w:r>
        <w:t xml:space="preserve"> </w:t>
      </w:r>
      <w:r>
        <w:t xml:space="preserve">Payment is due within 30 days from the date of this Invoice. Late payments may incur a penalty interest of 1.5% per month.</w:t>
      </w:r>
    </w:p>
    <w:p>
      <w:pPr>
        <w:pStyle w:val="BodyText"/>
      </w:pPr>
      <w:r>
        <w:rPr>
          <w:bCs/>
          <w:b/>
        </w:rPr>
        <w:t xml:space="preserve">3. Scope of Work:</w:t>
      </w:r>
      <w:r>
        <w:t xml:space="preserve"> </w:t>
      </w:r>
      <w:r>
        <w:t xml:space="preserve">This Invoice covers the professional consultancy provided by a qualified Chemical Engineer. The services rendered focus on optimizing industrial processes within the Malaysia Kuala Lumpur region, ensuring adherence to the Factories and Machinery Act 1967 and the Environmental Quality Act 1974.</w:t>
      </w:r>
    </w:p>
    <w:p>
      <w:pPr>
        <w:pStyle w:val="BodyText"/>
      </w:pPr>
      <w:r>
        <w:rPr>
          <w:bCs/>
          <w:b/>
        </w:rPr>
        <w:t xml:space="preserve">4. Validity:</w:t>
      </w:r>
      <w:r>
        <w:t xml:space="preserve"> </w:t>
      </w:r>
      <w:r>
        <w:t xml:space="preserve">This Invoice is valid for 60 days. Please quote the Invoice Number (ACS-2023-10-045) in all correspondence and payments.</w:t>
      </w:r>
    </w:p>
    <w:p>
      <w:pPr>
        <w:pStyle w:val="BodyText"/>
      </w:pPr>
      <w:r>
        <w:rPr>
          <w:bCs/>
          <w:b/>
        </w:rPr>
        <w:t xml:space="preserve">5. Disputes:</w:t>
      </w:r>
      <w:r>
        <w:t xml:space="preserve"> </w:t>
      </w:r>
      <w:r>
        <w:t xml:space="preserve">Any discrepancies regarding the services provided by the Chemical Engineer must be reported within 7 days of receipt of this Invoice.</w:t>
      </w:r>
    </w:p>
    <w:bookmarkEnd w:id="25"/>
    <w:p>
      <w:pPr>
        <w:pStyle w:val="BodyText"/>
      </w:pPr>
      <w:r>
        <w:rPr>
          <w:bCs/>
          <w:b/>
        </w:rPr>
        <w:t xml:space="preserve">Authorized By:</w:t>
      </w:r>
    </w:p>
    <w:p>
      <w:pPr>
        <w:pStyle w:val="BodyText"/>
      </w:pPr>
      <w:r>
        <w:t xml:space="preserve">Dr. Ahmad Razak</w:t>
      </w:r>
      <w:r>
        <w:br/>
      </w:r>
      <w:r>
        <w:t xml:space="preserve">Senior Chemical Engineer</w:t>
      </w:r>
      <w:r>
        <w:br/>
      </w:r>
      <w:r>
        <w:t xml:space="preserve">Apex Chemical Solutions Sdn Bhd</w:t>
      </w:r>
    </w:p>
    <w:p>
      <w:pPr>
        <w:pStyle w:val="BodyText"/>
      </w:pPr>
      <w:r>
        <w:rPr>
          <w:bCs/>
          <w:b/>
        </w:rPr>
        <w:t xml:space="preserve">Received By (Client):</w:t>
      </w:r>
    </w:p>
    <w:p>
      <w:pPr>
        <w:pStyle w:val="BodyText"/>
      </w:pPr>
      <w:r>
        <w:t xml:space="preserve">Signature &amp; Date</w:t>
      </w:r>
    </w:p>
    <w:p>
      <w:pPr>
        <w:pStyle w:val="BodyText"/>
      </w:pPr>
      <w:r>
        <w:t xml:space="preserve">Thank you for your business. We are committed to providing top-tier Chemical Engineering solutions in Malaysia Kuala Lumpur.</w:t>
      </w:r>
    </w:p>
    <w:p>
      <w:pPr>
        <w:pStyle w:val="BodyText"/>
      </w:pPr>
      <w:r>
        <w:t xml:space="preserve">Apex Chemical Solutions Sdn Bhd | ISO 9001:2015 Certified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Chemical Engineering Services</dc:title>
  <dc:creator/>
  <dc:language>en</dc:language>
  <cp:keywords/>
  <dcterms:created xsi:type="dcterms:W3CDTF">2026-10-10T08:45:13Z</dcterms:created>
  <dcterms:modified xsi:type="dcterms:W3CDTF">2026-10-10T08:45:13Z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