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quimicapro-engineering-solutions"/>
    <w:p>
      <w:pPr>
        <w:pStyle w:val="Heading1"/>
      </w:pPr>
      <w:r>
        <w:t xml:space="preserve">QuimicaPro Engineering Solutions</w:t>
      </w:r>
    </w:p>
    <w:p>
      <w:pPr>
        <w:pStyle w:val="FirstParagraph"/>
      </w:pPr>
      <w:r>
        <w:t xml:space="preserve">Professional Chemical Engineering Services</w:t>
      </w:r>
    </w:p>
    <w:p>
      <w:pPr>
        <w:pStyle w:val="BodyText"/>
      </w:pPr>
      <w:r>
        <w:t xml:space="preserve">Av. Insurgentes Sur 1234, Piso 8</w:t>
      </w:r>
    </w:p>
    <w:p>
      <w:pPr>
        <w:pStyle w:val="BodyText"/>
      </w:pPr>
      <w:r>
        <w:t xml:space="preserve">Col. Del Valle, Benito Juárez</w:t>
      </w:r>
    </w:p>
    <w:p>
      <w:pPr>
        <w:pStyle w:val="BodyText"/>
      </w:pPr>
      <w:r>
        <w:t xml:space="preserve">Mexico City, Mexico 03100</w:t>
      </w:r>
    </w:p>
    <w:p>
      <w:pPr>
        <w:pStyle w:val="BodyText"/>
      </w:pPr>
      <w:r>
        <w:t xml:space="preserve">RFC: QPS180515ABC</w:t>
      </w:r>
    </w:p>
    <w:p>
      <w:pPr>
        <w:pStyle w:val="BodyText"/>
      </w:pPr>
      <w:r>
        <w:t xml:space="preserve">Phone: +52 (55) 1234-5678</w:t>
      </w:r>
    </w:p>
    <w:p>
      <w:pPr>
        <w:pStyle w:val="BodyText"/>
      </w:pPr>
      <w:r>
        <w:t xml:space="preserve">Email: billing@quimicapro.mx</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Petroquímica del Valle S.A. de C.V.</w:t>
      </w:r>
    </w:p>
    <w:p>
      <w:pPr>
        <w:pStyle w:val="BodyText"/>
      </w:pPr>
      <w:r>
        <w:t xml:space="preserve">Attn: Procurement Department</w:t>
      </w:r>
    </w:p>
    <w:p>
      <w:pPr>
        <w:pStyle w:val="BodyText"/>
      </w:pPr>
      <w:r>
        <w:t xml:space="preserve">Av. Universidad 853, Col. Copilco</w:t>
      </w:r>
    </w:p>
    <w:p>
      <w:pPr>
        <w:pStyle w:val="BodyText"/>
      </w:pPr>
      <w:r>
        <w:t xml:space="preserve">Coyoacán, Mexico City, Mexico 04360</w:t>
      </w:r>
    </w:p>
    <w:p>
      <w:pPr>
        <w:pStyle w:val="BodyText"/>
      </w:pPr>
      <w:r>
        <w:t xml:space="preserve">RFC: PVS090101XYZ</w:t>
      </w:r>
    </w:p>
    <w:p>
      <w:pPr>
        <w:pStyle w:val="BodyText"/>
      </w:pPr>
      <w:r>
        <w:t xml:space="preserve">Contact: Carlos Mendoza</w:t>
      </w:r>
    </w:p>
    <w:p>
      <w:pPr>
        <w:pStyle w:val="BodyText"/>
      </w:pPr>
      <w:r>
        <w:t xml:space="preserve">Email: compras@petrovalle.mx</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Issue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Reference:</w:t>
            </w:r>
          </w:p>
        </w:tc>
        <w:tc>
          <w:tcPr/>
          <w:p>
            <w:pPr>
              <w:pStyle w:val="Compact"/>
              <w:jc w:val="left"/>
            </w:pPr>
            <w:r>
              <w:t xml:space="preserve">Process Optimization - Reactor Unit B</w:t>
            </w:r>
          </w:p>
        </w:tc>
      </w:tr>
    </w:tbl>
    <w:bookmarkStart w:id="23" w:name="X5f29dec4bde838698500cd0e2bc7a8c939a436e"/>
    <w:p>
      <w:pPr>
        <w:pStyle w:val="Heading3"/>
      </w:pPr>
      <w:r>
        <w:t xml:space="preserve">Description of Chemical Engineering Services</w:t>
      </w:r>
    </w:p>
    <w:p>
      <w:pPr>
        <w:pStyle w:val="FirstParagraph"/>
      </w:pPr>
      <w:r>
        <w:t xml:space="preserve">This invoice covers professional chemical engineering consulting services provided in Mexico City, Mexico, including process design, safety analysis, and operational optimization for industrial chemical processing facilities. All services comply with Mexican regulatory standards (NOM) and international engineering best practices.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Hours/Qty</w:t>
            </w:r>
          </w:p>
        </w:tc>
        <w:tc>
          <w:tcPr/>
          <w:p>
            <w:pPr>
              <w:pStyle w:val="Compact"/>
              <w:jc w:val="left"/>
            </w:pPr>
            <w:r>
              <w:t xml:space="preserve">Rate (MXN)</w:t>
            </w:r>
          </w:p>
        </w:tc>
        <w:tc>
          <w:tcPr/>
          <w:p>
            <w:pPr>
              <w:pStyle w:val="Compact"/>
              <w:jc w:val="left"/>
            </w:pPr>
            <w:r>
              <w:t xml:space="preserve">Tax (16%)</w:t>
            </w:r>
          </w:p>
        </w:tc>
        <w:tc>
          <w:tcPr/>
          <w:p>
            <w:pPr>
              <w:pStyle w:val="Compact"/>
              <w:jc w:val="left"/>
            </w:pPr>
            <w:r>
              <w:t xml:space="preserve">Amount (MXN)</w:t>
            </w:r>
          </w:p>
        </w:tc>
      </w:tr>
      <w:tr>
        <w:tc>
          <w:tcPr/>
          <w:p>
            <w:pPr>
              <w:pStyle w:val="Compact"/>
              <w:jc w:val="left"/>
            </w:pPr>
            <w:r>
              <w:rPr>
                <w:bCs/>
                <w:b/>
              </w:rPr>
              <w:t xml:space="preserve">Process Flow Diagram (PFD) Development</w:t>
            </w:r>
            <w:r>
              <w:br/>
            </w:r>
            <w:r>
              <w:t xml:space="preserve"> </w:t>
            </w:r>
            <w:r>
              <w:t xml:space="preserve">Creation and revision of detailed process flow diagrams for the new polymerization reactor system. Includes mass and energy balance calculations, equipment sizing specifications, and integration with existing plant infrastructure in accordance with Mexican industrial standards.</w:t>
            </w:r>
            <w:r>
              <w:t xml:space="preserve"> </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16,000.00</w:t>
            </w:r>
          </w:p>
        </w:tc>
        <w:tc>
          <w:tcPr/>
          <w:p>
            <w:pPr>
              <w:pStyle w:val="Compact"/>
              <w:jc w:val="left"/>
            </w:pPr>
            <w:r>
              <w:t xml:space="preserve">116,000.00</w:t>
            </w:r>
          </w:p>
        </w:tc>
      </w:tr>
      <w:tr>
        <w:tc>
          <w:tcPr/>
          <w:p>
            <w:pPr>
              <w:pStyle w:val="Compact"/>
              <w:jc w:val="left"/>
            </w:pPr>
            <w:r>
              <w:rPr>
                <w:bCs/>
                <w:b/>
              </w:rPr>
              <w:t xml:space="preserve">Hazard and Operability Study (HAZOP)</w:t>
            </w:r>
            <w:r>
              <w:br/>
            </w:r>
            <w:r>
              <w:t xml:space="preserve"> </w:t>
            </w:r>
            <w:r>
              <w:t xml:space="preserve">Comprehensive safety assessment conducted on-site at the Mexico City facility. Identification of potential process hazards, risk mitigation strategies, and compliance verification with NOM-002-STPS-2010 occupational safety regulations for chemical handling and processing operations.</w:t>
            </w:r>
            <w:r>
              <w:t xml:space="preserve"> </w:t>
            </w:r>
          </w:p>
        </w:tc>
        <w:tc>
          <w:tcPr/>
          <w:p>
            <w:pPr>
              <w:pStyle w:val="Compact"/>
              <w:jc w:val="left"/>
            </w:pPr>
            <w:r>
              <w:t xml:space="preserve">32</w:t>
            </w:r>
          </w:p>
        </w:tc>
        <w:tc>
          <w:tcPr/>
          <w:p>
            <w:pPr>
              <w:pStyle w:val="Compact"/>
              <w:jc w:val="left"/>
            </w:pPr>
            <w:r>
              <w:t xml:space="preserve">2,800.00</w:t>
            </w:r>
          </w:p>
        </w:tc>
        <w:tc>
          <w:tcPr/>
          <w:p>
            <w:pPr>
              <w:pStyle w:val="Compact"/>
              <w:jc w:val="left"/>
            </w:pPr>
            <w:r>
              <w:t xml:space="preserve">14,336.00</w:t>
            </w:r>
          </w:p>
        </w:tc>
        <w:tc>
          <w:tcPr/>
          <w:p>
            <w:pPr>
              <w:pStyle w:val="Compact"/>
              <w:jc w:val="left"/>
            </w:pPr>
            <w:r>
              <w:t xml:space="preserve">103,744.00</w:t>
            </w:r>
          </w:p>
        </w:tc>
      </w:tr>
      <w:tr>
        <w:tc>
          <w:tcPr/>
          <w:p>
            <w:pPr>
              <w:pStyle w:val="Compact"/>
              <w:jc w:val="left"/>
            </w:pPr>
            <w:r>
              <w:rPr>
                <w:bCs/>
                <w:b/>
              </w:rPr>
              <w:t xml:space="preserve">Heat Exchanger Network Optimization</w:t>
            </w:r>
            <w:r>
              <w:br/>
            </w:r>
            <w:r>
              <w:t xml:space="preserve"> </w:t>
            </w:r>
            <w:r>
              <w:t xml:space="preserve">Thermal efficiency analysis and redesign of the heat recovery system. Pinch technology application to minimize energy consumption, reduce operational costs, and improve overall plant sustainability metrics. Includes detailed engineering calculations and implementation recommendations.</w:t>
            </w:r>
            <w:r>
              <w:t xml:space="preserve"> </w:t>
            </w:r>
          </w:p>
        </w:tc>
        <w:tc>
          <w:tcPr/>
          <w:p>
            <w:pPr>
              <w:pStyle w:val="Compact"/>
              <w:jc w:val="left"/>
            </w:pPr>
            <w:r>
              <w:t xml:space="preserve">28</w:t>
            </w:r>
          </w:p>
        </w:tc>
        <w:tc>
          <w:tcPr/>
          <w:p>
            <w:pPr>
              <w:pStyle w:val="Compact"/>
              <w:jc w:val="left"/>
            </w:pPr>
            <w:r>
              <w:t xml:space="preserve">2,600.00</w:t>
            </w:r>
          </w:p>
        </w:tc>
        <w:tc>
          <w:tcPr/>
          <w:p>
            <w:pPr>
              <w:pStyle w:val="Compact"/>
              <w:jc w:val="left"/>
            </w:pPr>
            <w:r>
              <w:t xml:space="preserve">11,648.00</w:t>
            </w:r>
          </w:p>
        </w:tc>
        <w:tc>
          <w:tcPr/>
          <w:p>
            <w:pPr>
              <w:pStyle w:val="Compact"/>
              <w:jc w:val="left"/>
            </w:pPr>
            <w:r>
              <w:t xml:space="preserve">84,448.00</w:t>
            </w:r>
          </w:p>
        </w:tc>
      </w:tr>
      <w:tr>
        <w:tc>
          <w:tcPr/>
          <w:p>
            <w:pPr>
              <w:pStyle w:val="Compact"/>
              <w:jc w:val="left"/>
            </w:pPr>
            <w:r>
              <w:rPr>
                <w:bCs/>
                <w:b/>
              </w:rPr>
              <w:t xml:space="preserve">Chemical Reaction Kinetics Analysis</w:t>
            </w:r>
            <w:r>
              <w:br/>
            </w:r>
            <w:r>
              <w:t xml:space="preserve"> </w:t>
            </w:r>
            <w:r>
              <w:t xml:space="preserve">Laboratory data interpretation and kinetic modeling for the catalytic conversion process. Development of predictive models for reactor performance under varying operating conditions. Report includes recommendations for catalyst selection and reaction parameter optimization.</w:t>
            </w:r>
            <w:r>
              <w:t xml:space="preserve"> </w:t>
            </w:r>
          </w:p>
        </w:tc>
        <w:tc>
          <w:tcPr/>
          <w:p>
            <w:pPr>
              <w:pStyle w:val="Compact"/>
              <w:jc w:val="left"/>
            </w:pPr>
            <w:r>
              <w:t xml:space="preserve">24</w:t>
            </w:r>
          </w:p>
        </w:tc>
        <w:tc>
          <w:tcPr/>
          <w:p>
            <w:pPr>
              <w:pStyle w:val="Compact"/>
              <w:jc w:val="left"/>
            </w:pPr>
            <w:r>
              <w:t xml:space="preserve">2,700.00</w:t>
            </w:r>
          </w:p>
        </w:tc>
        <w:tc>
          <w:tcPr/>
          <w:p>
            <w:pPr>
              <w:pStyle w:val="Compact"/>
              <w:jc w:val="left"/>
            </w:pPr>
            <w:r>
              <w:t xml:space="preserve">10,368.00</w:t>
            </w:r>
          </w:p>
        </w:tc>
        <w:tc>
          <w:tcPr/>
          <w:p>
            <w:pPr>
              <w:pStyle w:val="Compact"/>
              <w:jc w:val="left"/>
            </w:pPr>
            <w:r>
              <w:t xml:space="preserve">75,168.00</w:t>
            </w:r>
          </w:p>
        </w:tc>
      </w:tr>
      <w:tr>
        <w:tc>
          <w:tcPr/>
          <w:p>
            <w:pPr>
              <w:pStyle w:val="Compact"/>
              <w:jc w:val="left"/>
            </w:pPr>
            <w:r>
              <w:rPr>
                <w:bCs/>
                <w:b/>
              </w:rPr>
              <w:t xml:space="preserve">Environmental Compliance Assessment</w:t>
            </w:r>
            <w:r>
              <w:br/>
            </w:r>
            <w:r>
              <w:t xml:space="preserve"> </w:t>
            </w:r>
            <w:r>
              <w:t xml:space="preserve">Evaluation of wastewater treatment processes and emissions control systems. Verification of compliance with NOM-001-SEMARNAT-2021 and NOM-085-SEMARNAT-2020 environmental regulations. Preparation of technical documentation for regulatory submissions to Mexico City environmental authorities.</w:t>
            </w:r>
            <w:r>
              <w:t xml:space="preserve"> </w:t>
            </w:r>
          </w:p>
        </w:tc>
        <w:tc>
          <w:tcPr/>
          <w:p>
            <w:pPr>
              <w:pStyle w:val="Compact"/>
              <w:jc w:val="left"/>
            </w:pPr>
            <w:r>
              <w:t xml:space="preserve">20</w:t>
            </w:r>
          </w:p>
        </w:tc>
        <w:tc>
          <w:tcPr/>
          <w:p>
            <w:pPr>
              <w:pStyle w:val="Compact"/>
              <w:jc w:val="left"/>
            </w:pPr>
            <w:r>
              <w:t xml:space="preserve">2,400.00</w:t>
            </w:r>
          </w:p>
        </w:tc>
        <w:tc>
          <w:tcPr/>
          <w:p>
            <w:pPr>
              <w:pStyle w:val="Compact"/>
              <w:jc w:val="left"/>
            </w:pPr>
            <w:r>
              <w:t xml:space="preserve">7,680.00</w:t>
            </w:r>
          </w:p>
        </w:tc>
        <w:tc>
          <w:tcPr/>
          <w:p>
            <w:pPr>
              <w:pStyle w:val="Compact"/>
              <w:jc w:val="left"/>
            </w:pPr>
            <w:r>
              <w:t xml:space="preserve">55,680.00</w:t>
            </w:r>
          </w:p>
        </w:tc>
      </w:tr>
      <w:tr>
        <w:tc>
          <w:tcPr/>
          <w:p>
            <w:pPr>
              <w:pStyle w:val="Compact"/>
              <w:jc w:val="left"/>
            </w:pPr>
            <w:r>
              <w:rPr>
                <w:bCs/>
                <w:b/>
              </w:rPr>
              <w:t xml:space="preserve">Technical Documentation and Reporting</w:t>
            </w:r>
            <w:r>
              <w:br/>
            </w:r>
            <w:r>
              <w:t xml:space="preserve"> </w:t>
            </w:r>
            <w:r>
              <w:t xml:space="preserve">Compilation of all engineering analyses, calculations, and recommendations into comprehensive technical reports. Includes executive summaries, detailed appendices, and presentation materials for stakeholder review. All documentation prepared in accordance with Mexican engineering documentation standards.</w:t>
            </w:r>
            <w:r>
              <w:t xml:space="preserve"> </w:t>
            </w:r>
          </w:p>
        </w:tc>
        <w:tc>
          <w:tcPr/>
          <w:p>
            <w:pPr>
              <w:pStyle w:val="Compact"/>
              <w:jc w:val="left"/>
            </w:pPr>
            <w:r>
              <w:t xml:space="preserve">16</w:t>
            </w:r>
          </w:p>
        </w:tc>
        <w:tc>
          <w:tcPr/>
          <w:p>
            <w:pPr>
              <w:pStyle w:val="Compact"/>
              <w:jc w:val="left"/>
            </w:pPr>
            <w:r>
              <w:t xml:space="preserve">2,200.00</w:t>
            </w:r>
          </w:p>
        </w:tc>
        <w:tc>
          <w:tcPr/>
          <w:p>
            <w:pPr>
              <w:pStyle w:val="Compact"/>
              <w:jc w:val="left"/>
            </w:pPr>
            <w:r>
              <w:t xml:space="preserve">5,632.00</w:t>
            </w:r>
          </w:p>
        </w:tc>
        <w:tc>
          <w:tcPr/>
          <w:p>
            <w:pPr>
              <w:pStyle w:val="Compact"/>
              <w:jc w:val="left"/>
            </w:pPr>
            <w:r>
              <w:t xml:space="preserve">40,832.00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$475,872.00 MXN</w:t>
            </w:r>
          </w:p>
        </w:tc>
      </w:tr>
      <w:tr>
        <w:tc>
          <w:tcPr/>
          <w:p>
            <w:pPr>
              <w:pStyle w:val="Compact"/>
              <w:jc w:val="left"/>
            </w:pPr>
            <w:r>
              <w:t xml:space="preserve">VAT (IVA 16%):</w:t>
            </w:r>
          </w:p>
        </w:tc>
        <w:tc>
          <w:tcPr/>
          <w:p>
            <w:pPr>
              <w:pStyle w:val="Compact"/>
              <w:jc w:val="left"/>
            </w:pPr>
            <w:r>
              <w:t xml:space="preserve">$75,672.00 MXN</w:t>
            </w:r>
          </w:p>
        </w:tc>
      </w:tr>
      <w:tr>
        <w:tc>
          <w:tcPr/>
          <w:p>
            <w:pPr>
              <w:pStyle w:val="Compact"/>
              <w:jc w:val="left"/>
            </w:pPr>
            <w:r>
              <w:t xml:space="preserve">Total Amount Due:</w:t>
            </w:r>
          </w:p>
        </w:tc>
        <w:tc>
          <w:tcPr/>
          <w:p>
            <w:pPr>
              <w:pStyle w:val="Compact"/>
              <w:jc w:val="left"/>
            </w:pPr>
            <w:r>
              <w:t xml:space="preserve">$551,544.00 MXN</w:t>
            </w:r>
          </w:p>
        </w:tc>
      </w:tr>
    </w:tbl>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BBVA México</w:t>
      </w:r>
    </w:p>
    <w:p>
      <w:pPr>
        <w:pStyle w:val="BodyText"/>
      </w:pPr>
      <w:r>
        <w:rPr>
          <w:bCs/>
          <w:b/>
        </w:rPr>
        <w:t xml:space="preserve">Account Name:</w:t>
      </w:r>
      <w:r>
        <w:t xml:space="preserve"> </w:t>
      </w:r>
      <w:r>
        <w:t xml:space="preserve">QuimicaPro Engineering Solutions S.A. de C.V.</w:t>
      </w:r>
    </w:p>
    <w:p>
      <w:pPr>
        <w:pStyle w:val="BodyText"/>
      </w:pPr>
      <w:r>
        <w:rPr>
          <w:bCs/>
          <w:b/>
        </w:rPr>
        <w:t xml:space="preserve">CLABE:</w:t>
      </w:r>
      <w:r>
        <w:t xml:space="preserve"> </w:t>
      </w:r>
      <w:r>
        <w:t xml:space="preserve">012180001234567890</w:t>
      </w:r>
    </w:p>
    <w:p>
      <w:pPr>
        <w:pStyle w:val="BodyText"/>
      </w:pPr>
      <w:r>
        <w:rPr>
          <w:bCs/>
          <w:b/>
        </w:rPr>
        <w:t xml:space="preserve">Reference:</w:t>
      </w:r>
      <w:r>
        <w:t xml:space="preserve"> </w:t>
      </w:r>
      <w:r>
        <w:t xml:space="preserve">INV-2024-0847</w:t>
      </w:r>
    </w:p>
    <w:p>
      <w:pPr>
        <w:pStyle w:val="BodyText"/>
      </w:pPr>
      <w:r>
        <w:t xml:space="preserve">Please include the invoice number as payment reference. For wire transfers, please contact our accounting department at contabilidad@quimicapro.mx for additional details.</w:t>
      </w:r>
    </w:p>
    <w:bookmarkEnd w:id="24"/>
    <w:bookmarkStart w:id="25" w:name="terms-and-conditions"/>
    <w:p>
      <w:pPr>
        <w:pStyle w:val="Heading3"/>
      </w:pPr>
      <w:r>
        <w:t xml:space="preserve">Terms and Conditions</w:t>
      </w:r>
    </w:p>
    <w:p>
      <w:pPr>
        <w:numPr>
          <w:ilvl w:val="0"/>
          <w:numId w:val="1001"/>
        </w:numPr>
        <w:pStyle w:val="Compact"/>
      </w:pPr>
      <w:r>
        <w:t xml:space="preserve">Payment is due within 30 days from the invoice date as indicated above.</w:t>
      </w:r>
    </w:p>
    <w:p>
      <w:pPr>
        <w:numPr>
          <w:ilvl w:val="0"/>
          <w:numId w:val="1001"/>
        </w:numPr>
        <w:pStyle w:val="Compact"/>
      </w:pPr>
      <w:r>
        <w:t xml:space="preserve">Late payments will incur a penalty of 1.5% per month on the outstanding balance, in accordance with Mexican commercial law.</w:t>
      </w:r>
    </w:p>
    <w:p>
      <w:pPr>
        <w:numPr>
          <w:ilvl w:val="0"/>
          <w:numId w:val="1001"/>
        </w:numPr>
        <w:pStyle w:val="Compact"/>
      </w:pPr>
      <w:r>
        <w:t xml:space="preserve">All services provided are subject to the professional standards of chemical engineering practice in Mexico.</w:t>
      </w:r>
    </w:p>
    <w:p>
      <w:pPr>
        <w:numPr>
          <w:ilvl w:val="0"/>
          <w:numId w:val="1001"/>
        </w:numPr>
        <w:pStyle w:val="Compact"/>
      </w:pPr>
      <w:r>
        <w:t xml:space="preserve">This invoice is valid for tax deduction purposes in Mexico. A CFDI (Comprobante Fiscal Digital por Internet) will be issued upon payment confirmation.</w:t>
      </w:r>
    </w:p>
    <w:p>
      <w:pPr>
        <w:numPr>
          <w:ilvl w:val="0"/>
          <w:numId w:val="1001"/>
        </w:numPr>
        <w:pStyle w:val="Compact"/>
      </w:pPr>
      <w:r>
        <w:t xml:space="preserve">Any disputes regarding this invoice must be raised in writing within 15 days of receipt.</w:t>
      </w:r>
    </w:p>
    <w:p>
      <w:pPr>
        <w:numPr>
          <w:ilvl w:val="0"/>
          <w:numId w:val="1001"/>
        </w:numPr>
        <w:pStyle w:val="Compact"/>
      </w:pPr>
      <w:r>
        <w:t xml:space="preserve">Intellectual property of all engineering designs, calculations, and reports remains with QuimicaPro Engineering Solutions until full payment is received.</w:t>
      </w:r>
    </w:p>
    <w:p>
      <w:pPr>
        <w:numPr>
          <w:ilvl w:val="0"/>
          <w:numId w:val="1001"/>
        </w:numPr>
        <w:pStyle w:val="Compact"/>
      </w:pPr>
      <w:r>
        <w:t xml:space="preserve">This invoice and all associated services are governed by the laws of the United Mexican States, with jurisdiction in Mexico City.</w:t>
      </w:r>
    </w:p>
    <w:bookmarkEnd w:id="25"/>
    <w:bookmarkStart w:id="26" w:name="important-notice"/>
    <w:p>
      <w:pPr>
        <w:pStyle w:val="Heading3"/>
      </w:pPr>
      <w:r>
        <w:t xml:space="preserve">Important Notice</w:t>
      </w:r>
    </w:p>
    <w:p>
      <w:pPr>
        <w:pStyle w:val="FirstParagraph"/>
      </w:pPr>
      <w:r>
        <w:t xml:space="preserve">This invoice represents professional chemical engineering services rendered in Mexico City, Mexico. All work has been performed in compliance with applicable Mexican regulations, including but not limited to NOM standards for occupational safety, environmental protection, and industrial processes. Our team of licensed chemical engineers has ensured that all deliverables meet the highest standards of technical excellence and regulatory compliance.</w:t>
      </w:r>
    </w:p>
    <w:bookmarkEnd w:id="26"/>
    <w:p>
      <w:pPr>
        <w:pStyle w:val="BodyText"/>
      </w:pPr>
      <w:r>
        <w:t xml:space="preserve">Authorized Signature:</w:t>
      </w:r>
    </w:p>
    <w:p>
      <w:pPr>
        <w:pStyle w:val="BodyText"/>
      </w:pPr>
      <w:r>
        <w:rPr>
          <w:bCs/>
          <w:b/>
        </w:rPr>
        <w:t xml:space="preserve">Ing. María Elena Rodríguez</w:t>
      </w:r>
      <w:r>
        <w:br/>
      </w:r>
      <w:r>
        <w:t xml:space="preserve">Lead Chemical Engineer</w:t>
      </w:r>
      <w:r>
        <w:br/>
      </w:r>
      <w:r>
        <w:t xml:space="preserve">Cédula Profesional: 8765432</w:t>
      </w:r>
    </w:p>
    <w:p>
      <w:pPr>
        <w:pStyle w:val="BodyText"/>
      </w:pPr>
      <w:r>
        <w:t xml:space="preserve">Received By:</w:t>
      </w:r>
    </w:p>
    <w:p>
      <w:pPr>
        <w:pStyle w:val="BodyText"/>
      </w:pPr>
      <w:r>
        <w:t xml:space="preserve">Client Signature</w:t>
      </w:r>
      <w:r>
        <w:br/>
      </w:r>
      <w:r>
        <w:t xml:space="preserve">Date: _______________</w:t>
      </w:r>
    </w:p>
    <w:p>
      <w:pPr>
        <w:pStyle w:val="BodyText"/>
      </w:pPr>
      <w:r>
        <w:t xml:space="preserve">QuimicaPro Engineering Solutions S.A. de C.V. | RFC: QPS180515ABC</w:t>
      </w:r>
      <w:r>
        <w:br/>
      </w:r>
      <w:r>
        <w:t xml:space="preserve">Av. Insurgentes Sur 1234, Piso 8, Col. Del Valle, Benito Juárez, Mexico City, Mexico 03100</w:t>
      </w:r>
      <w:r>
        <w:br/>
      </w:r>
      <w:r>
        <w:t xml:space="preserve">This is an official invoice document for professional chemical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2026-10-10T08:06:07Z</dcterms:created>
  <dcterms:modified xsi:type="dcterms:W3CDTF">2026-10-10T08:06:07Z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