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neurochem-solutions-ltd."/>
    <w:p>
      <w:pPr>
        <w:pStyle w:val="Heading1"/>
      </w:pPr>
      <w:r>
        <w:t xml:space="preserve">NeuroChem Solutions Ltd.</w:t>
      </w:r>
    </w:p>
    <w:p>
      <w:pPr>
        <w:pStyle w:val="FirstParagraph"/>
      </w:pPr>
      <w:r>
        <w:t xml:space="preserve">Advanced Chemical Engineering &amp; Process Optimization</w:t>
      </w:r>
    </w:p>
    <w:p>
      <w:pPr>
        <w:pStyle w:val="BodyText"/>
      </w:pPr>
      <w:r>
        <w:t xml:space="preserve">198098, Russia, Saint Petersburg</w:t>
      </w:r>
    </w:p>
    <w:p>
      <w:pPr>
        <w:pStyle w:val="BodyText"/>
      </w:pPr>
      <w:r>
        <w:t xml:space="preserve">Vasileostrovsky District, 10th Line, 28</w:t>
      </w:r>
    </w:p>
    <w:p>
      <w:pPr>
        <w:pStyle w:val="BodyText"/>
      </w:pPr>
      <w:r>
        <w:t xml:space="preserve">Email: billing@neurochem-spb.ru</w:t>
      </w:r>
    </w:p>
    <w:p>
      <w:pPr>
        <w:pStyle w:val="BodyText"/>
      </w:pPr>
      <w:r>
        <w:t xml:space="preserve">Phone: +7 (812)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INV-SPB-2023-0892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NeuroChem Solutions Ltd.</w:t>
      </w:r>
    </w:p>
    <w:p>
      <w:pPr>
        <w:pStyle w:val="BodyText"/>
      </w:pPr>
      <w:r>
        <w:t xml:space="preserve">INN: 7801234567</w:t>
      </w:r>
    </w:p>
    <w:p>
      <w:pPr>
        <w:pStyle w:val="BodyText"/>
      </w:pPr>
      <w:r>
        <w:t xml:space="preserve">KPP: 780101001</w:t>
      </w:r>
    </w:p>
    <w:p>
      <w:pPr>
        <w:pStyle w:val="BodyText"/>
      </w:pPr>
      <w:r>
        <w:t xml:space="preserve">Legal Address: Russia, Saint Petersburg, Vasileostrovsky District, 10th Line, 28</w:t>
      </w:r>
    </w:p>
    <w:p>
      <w:pPr>
        <w:pStyle w:val="BodyText"/>
      </w:pPr>
      <w:r>
        <w:t xml:space="preserve">Bank: Sberbank of Russia</w:t>
      </w:r>
    </w:p>
    <w:p>
      <w:pPr>
        <w:pStyle w:val="BodyText"/>
      </w:pPr>
      <w:r>
        <w:t xml:space="preserve">BIC: 044525225</w:t>
      </w:r>
    </w:p>
    <w:p>
      <w:pPr>
        <w:pStyle w:val="BodyText"/>
      </w:pPr>
      <w:r>
        <w:t xml:space="preserve">Account: 40702810938000012345</w:t>
      </w:r>
    </w:p>
    <w:bookmarkEnd w:id="22"/>
    <w:bookmarkStart w:id="23" w:name="bill-to-client"/>
    <w:p>
      <w:pPr>
        <w:pStyle w:val="Heading3"/>
      </w:pPr>
      <w:r>
        <w:t xml:space="preserve">Bill To (Client)</w:t>
      </w:r>
    </w:p>
    <w:p>
      <w:pPr>
        <w:pStyle w:val="FirstParagraph"/>
      </w:pPr>
      <w:r>
        <w:rPr>
          <w:bCs/>
          <w:b/>
        </w:rPr>
        <w:t xml:space="preserve">PetroTech Industries JSC</w:t>
      </w:r>
    </w:p>
    <w:p>
      <w:pPr>
        <w:pStyle w:val="BodyText"/>
      </w:pPr>
      <w:r>
        <w:t xml:space="preserve">Attn: Procurement Department</w:t>
      </w:r>
    </w:p>
    <w:p>
      <w:pPr>
        <w:pStyle w:val="BodyText"/>
      </w:pPr>
      <w:r>
        <w:t xml:space="preserve">197101, Russia, Saint Petersburg</w:t>
      </w:r>
    </w:p>
    <w:p>
      <w:pPr>
        <w:pStyle w:val="BodyText"/>
      </w:pPr>
      <w:r>
        <w:t xml:space="preserve">Kronverksky Avenue, 49</w:t>
      </w:r>
    </w:p>
    <w:p>
      <w:pPr>
        <w:pStyle w:val="BodyText"/>
      </w:pPr>
      <w:r>
        <w:t xml:space="preserve">INN: 7809876543</w:t>
      </w:r>
    </w:p>
    <w:p>
      <w:pPr>
        <w:pStyle w:val="BodyText"/>
      </w:pPr>
      <w:r>
        <w:t xml:space="preserve">KPP: 780901001</w:t>
      </w:r>
    </w:p>
    <w:bookmarkEnd w:id="23"/>
    <w:bookmarkStart w:id="25" w:name="X0d184b19b1954f30e8846cc17fb0dd1bc46807f"/>
    <w:p>
      <w:pPr>
        <w:pStyle w:val="Heading3"/>
      </w:pPr>
      <w:r>
        <w:t xml:space="preserve">Project Description: Chemical Process Optimization &amp; Safety Audit</w:t>
      </w:r>
    </w:p>
    <w:p>
      <w:pPr>
        <w:pStyle w:val="FirstParagraph"/>
      </w:pPr>
      <w:r>
        <w:t xml:space="preserve">This</w:t>
      </w:r>
      <w:r>
        <w:t xml:space="preserve"> </w:t>
      </w:r>
      <w:r>
        <w:rPr>
          <w:bCs/>
          <w:b/>
        </w:rPr>
        <w:t xml:space="preserve">Invoice</w:t>
      </w:r>
      <w:r>
        <w:t xml:space="preserve"> </w:t>
      </w:r>
      <w:r>
        <w:t xml:space="preserve">details the professional services rendered by a senior</w:t>
      </w:r>
      <w:r>
        <w:t xml:space="preserve"> </w:t>
      </w:r>
      <w:r>
        <w:rPr>
          <w:bCs/>
          <w:b/>
        </w:rPr>
        <w:t xml:space="preserve">Chemical Engineer</w:t>
      </w:r>
      <w:r>
        <w:t xml:space="preserve"> </w:t>
      </w:r>
      <w:r>
        <w:t xml:space="preserve">specializing in petrochemical refining and industrial safety protocols. The work was conducted on-site at the PetroTech Industries facility located in the industrial zone of</w:t>
      </w:r>
      <w:r>
        <w:t xml:space="preserve"> </w:t>
      </w:r>
      <w:r>
        <w:rPr>
          <w:bCs/>
          <w:b/>
        </w:rPr>
        <w:t xml:space="preserve">Russia Saint Petersburg</w:t>
      </w:r>
      <w:r>
        <w:t xml:space="preserve">. The scope of work included a comprehensive analysis of the existing distillation columns, thermal efficiency calculations, and the implementation of new safety standards compliant with GOST regulations specific to the Saint Petersburg region.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rPr>
                <w:bCs/>
                <w:b/>
              </w:rPr>
              <w:t xml:space="preserve">Phase 1: Site Assessment &amp; Data Collection</w:t>
            </w:r>
            <w:r>
              <w:br/>
            </w:r>
            <w:r>
              <w:t xml:space="preserve">On-site inspection of the chemical processing plant in Saint Petersburg. The</w:t>
            </w:r>
            <w:r>
              <w:t xml:space="preserve"> </w:t>
            </w:r>
            <w:r>
              <w:rPr>
                <w:bCs/>
                <w:b/>
              </w:rPr>
              <w:t xml:space="preserve">Chemical Engineer</w:t>
            </w:r>
            <w:r>
              <w:t xml:space="preserve"> </w:t>
            </w:r>
            <w:r>
              <w:t xml:space="preserve">evaluated current reactor performance, identified bottlenecks in the fluid dynamics of the primary pipeline, and collected samples for laboratory analysis. This phase ensured that all subsequent recommendations were tailored to the specific infrastructure of the client's facility in</w:t>
            </w:r>
            <w:r>
              <w:t xml:space="preserve"> </w:t>
            </w:r>
            <w:r>
              <w:rPr>
                <w:bCs/>
                <w:b/>
              </w:rPr>
              <w:t xml:space="preserve">Russia Saint Petersburg</w:t>
            </w:r>
            <w:r>
              <w:t xml:space="preserve">.</w:t>
            </w:r>
          </w:p>
        </w:tc>
        <w:tc>
          <w:tcPr/>
          <w:p>
            <w:pPr>
              <w:pStyle w:val="Compact"/>
              <w:jc w:val="left"/>
            </w:pPr>
            <w:r>
              <w:t xml:space="preserve">40 Hours</w:t>
            </w:r>
          </w:p>
        </w:tc>
        <w:tc>
          <w:tcPr/>
          <w:p>
            <w:pPr>
              <w:pStyle w:val="Compact"/>
              <w:jc w:val="left"/>
            </w:pPr>
            <w:r>
              <w:t xml:space="preserve">4,500.00</w:t>
            </w:r>
          </w:p>
        </w:tc>
        <w:tc>
          <w:tcPr/>
          <w:p>
            <w:pPr>
              <w:pStyle w:val="Compact"/>
              <w:jc w:val="left"/>
            </w:pPr>
            <w:r>
              <w:t xml:space="preserve">180,000.00</w:t>
            </w:r>
          </w:p>
        </w:tc>
      </w:tr>
      <w:tr>
        <w:tc>
          <w:tcPr/>
          <w:p>
            <w:pPr>
              <w:pStyle w:val="Compact"/>
              <w:jc w:val="left"/>
            </w:pPr>
            <w:r>
              <w:rPr>
                <w:bCs/>
                <w:b/>
              </w:rPr>
              <w:t xml:space="preserve">Phase 2: Process Simulation &amp; Optimization</w:t>
            </w:r>
            <w:r>
              <w:br/>
            </w:r>
            <w:r>
              <w:t xml:space="preserve">Utilization of Aspen HYSYS software to model the chemical reactions and heat transfer processes. The</w:t>
            </w:r>
            <w:r>
              <w:t xml:space="preserve"> </w:t>
            </w:r>
            <w:r>
              <w:rPr>
                <w:bCs/>
                <w:b/>
              </w:rPr>
              <w:t xml:space="preserve">Chemical Engineer</w:t>
            </w:r>
            <w:r>
              <w:t xml:space="preserve"> </w:t>
            </w:r>
            <w:r>
              <w:t xml:space="preserve">developed a new operational strategy to reduce energy consumption by 12% while maintaining output volume. This technical analysis is critical for maintaining competitiveness in the Russian energy sector.</w:t>
            </w:r>
          </w:p>
        </w:tc>
        <w:tc>
          <w:tcPr/>
          <w:p>
            <w:pPr>
              <w:pStyle w:val="Compact"/>
              <w:jc w:val="left"/>
            </w:pPr>
            <w:r>
              <w:t xml:space="preserve">60 Hours</w:t>
            </w:r>
          </w:p>
        </w:tc>
        <w:tc>
          <w:tcPr/>
          <w:p>
            <w:pPr>
              <w:pStyle w:val="Compact"/>
              <w:jc w:val="left"/>
            </w:pPr>
            <w:r>
              <w:t xml:space="preserve">5,000.00</w:t>
            </w:r>
          </w:p>
        </w:tc>
        <w:tc>
          <w:tcPr/>
          <w:p>
            <w:pPr>
              <w:pStyle w:val="Compact"/>
              <w:jc w:val="left"/>
            </w:pPr>
            <w:r>
              <w:t xml:space="preserve">300,000.00</w:t>
            </w:r>
          </w:p>
        </w:tc>
      </w:tr>
      <w:tr>
        <w:tc>
          <w:tcPr/>
          <w:p>
            <w:pPr>
              <w:pStyle w:val="Compact"/>
              <w:jc w:val="left"/>
            </w:pPr>
            <w:r>
              <w:rPr>
                <w:bCs/>
                <w:b/>
              </w:rPr>
              <w:t xml:space="preserve">Phase 3: Safety Compliance &amp; GOST Alignment</w:t>
            </w:r>
            <w:r>
              <w:br/>
            </w:r>
            <w:r>
              <w:t xml:space="preserve">Review of current safety protocols against the latest Russian Federal Norms and Rules (FNP). The</w:t>
            </w:r>
            <w:r>
              <w:t xml:space="preserve"> </w:t>
            </w:r>
            <w:r>
              <w:rPr>
                <w:bCs/>
                <w:b/>
              </w:rPr>
              <w:t xml:space="preserve">Chemical Engineer</w:t>
            </w:r>
            <w:r>
              <w:t xml:space="preserve"> </w:t>
            </w:r>
            <w:r>
              <w:t xml:space="preserve">prepared a detailed report on hazardous material handling, ensuring full compliance with local regulations in</w:t>
            </w:r>
            <w:r>
              <w:t xml:space="preserve"> </w:t>
            </w:r>
            <w:r>
              <w:rPr>
                <w:bCs/>
                <w:b/>
              </w:rPr>
              <w:t xml:space="preserve">Russia Saint Petersburg</w:t>
            </w:r>
            <w:r>
              <w:t xml:space="preserve">. This includes updates to the emergency response plan for chemical spills.</w:t>
            </w:r>
          </w:p>
        </w:tc>
        <w:tc>
          <w:tcPr/>
          <w:p>
            <w:pPr>
              <w:pStyle w:val="Compact"/>
              <w:jc w:val="left"/>
            </w:pPr>
            <w:r>
              <w:t xml:space="preserve">30 Hours</w:t>
            </w:r>
          </w:p>
        </w:tc>
        <w:tc>
          <w:tcPr/>
          <w:p>
            <w:pPr>
              <w:pStyle w:val="Compact"/>
              <w:jc w:val="left"/>
            </w:pPr>
            <w:r>
              <w:t xml:space="preserve">4,800.00</w:t>
            </w:r>
          </w:p>
        </w:tc>
        <w:tc>
          <w:tcPr/>
          <w:p>
            <w:pPr>
              <w:pStyle w:val="Compact"/>
              <w:jc w:val="left"/>
            </w:pPr>
            <w:r>
              <w:t xml:space="preserve">144,000.00</w:t>
            </w:r>
          </w:p>
        </w:tc>
      </w:tr>
      <w:tr>
        <w:tc>
          <w:tcPr/>
          <w:p>
            <w:pPr>
              <w:pStyle w:val="Compact"/>
              <w:jc w:val="left"/>
            </w:pPr>
            <w:r>
              <w:rPr>
                <w:bCs/>
                <w:b/>
              </w:rPr>
              <w:t xml:space="preserve">Phase 4: Staff Training &amp; Implementation Support</w:t>
            </w:r>
            <w:r>
              <w:br/>
            </w:r>
            <w:r>
              <w:t xml:space="preserve">Conducting workshops for the plant operators in Saint Petersburg. The</w:t>
            </w:r>
            <w:r>
              <w:t xml:space="preserve"> </w:t>
            </w:r>
            <w:r>
              <w:rPr>
                <w:bCs/>
                <w:b/>
              </w:rPr>
              <w:t xml:space="preserve">Chemical Engineer</w:t>
            </w:r>
            <w:r>
              <w:t xml:space="preserve"> </w:t>
            </w:r>
            <w:r>
              <w:t xml:space="preserve">provided hands-on training regarding the new optimized parameters and safety procedures. This ensures that the technical improvements are effectively integrated into the daily operations of the facility.</w:t>
            </w:r>
          </w:p>
        </w:tc>
        <w:tc>
          <w:tcPr/>
          <w:p>
            <w:pPr>
              <w:pStyle w:val="Compact"/>
              <w:jc w:val="left"/>
            </w:pPr>
            <w:r>
              <w:t xml:space="preserve">16 Hours</w:t>
            </w:r>
          </w:p>
        </w:tc>
        <w:tc>
          <w:tcPr/>
          <w:p>
            <w:pPr>
              <w:pStyle w:val="Compact"/>
              <w:jc w:val="left"/>
            </w:pPr>
            <w:r>
              <w:t xml:space="preserve">4,000.00</w:t>
            </w:r>
          </w:p>
        </w:tc>
        <w:tc>
          <w:tcPr/>
          <w:p>
            <w:pPr>
              <w:pStyle w:val="Compact"/>
              <w:jc w:val="left"/>
            </w:pPr>
            <w:r>
              <w:t xml:space="preserve">64,000.00</w:t>
            </w:r>
          </w:p>
        </w:tc>
      </w:tr>
      <w:tr>
        <w:tc>
          <w:tcPr/>
          <w:p>
            <w:pPr>
              <w:pStyle w:val="Compact"/>
              <w:jc w:val="left"/>
            </w:pPr>
            <w:r>
              <w:rPr>
                <w:bCs/>
                <w:b/>
              </w:rPr>
              <w:t xml:space="preserve">Technical Documentation &amp; Final Report</w:t>
            </w:r>
            <w:r>
              <w:br/>
            </w:r>
            <w:r>
              <w:t xml:space="preserve">Compilation of all findings, simulations, and recommendations into a comprehensive technical dossier. This document serves as the official record of the engineering services provided and is essential for regulatory audits in</w:t>
            </w:r>
            <w:r>
              <w:t xml:space="preserve"> </w:t>
            </w:r>
            <w:r>
              <w:rPr>
                <w:bCs/>
                <w:b/>
              </w:rPr>
              <w:t xml:space="preserve">Russia Saint Petersburg</w:t>
            </w:r>
            <w:r>
              <w:t xml:space="preserve">.</w:t>
            </w:r>
          </w:p>
        </w:tc>
        <w:tc>
          <w:tcPr/>
          <w:p>
            <w:pPr>
              <w:pStyle w:val="Compact"/>
              <w:jc w:val="left"/>
            </w:pPr>
            <w:r>
              <w:t xml:space="preserve">1 Item</w:t>
            </w:r>
          </w:p>
        </w:tc>
        <w:tc>
          <w:tcPr/>
          <w:p>
            <w:pPr>
              <w:pStyle w:val="Compact"/>
              <w:jc w:val="left"/>
            </w:pPr>
            <w:r>
              <w:t xml:space="preserve">50,000.00</w:t>
            </w:r>
          </w:p>
        </w:tc>
        <w:tc>
          <w:tcPr/>
          <w:p>
            <w:pPr>
              <w:pStyle w:val="Compact"/>
              <w:jc w:val="left"/>
            </w:pPr>
            <w:r>
              <w:t xml:space="preserve">50,000.00</w:t>
            </w:r>
          </w:p>
        </w:tc>
      </w:tr>
    </w:tbl>
    <w:p>
      <w:pPr>
        <w:pStyle w:val="BodyText"/>
      </w:pPr>
      <w:r>
        <w:t xml:space="preserve">Subtotal:</w:t>
      </w:r>
    </w:p>
    <w:p>
      <w:pPr>
        <w:pStyle w:val="BodyText"/>
      </w:pPr>
      <w:r>
        <w:t xml:space="preserve">738,000.00 RUB</w:t>
      </w:r>
    </w:p>
    <w:p>
      <w:pPr>
        <w:pStyle w:val="BodyText"/>
      </w:pPr>
      <w:r>
        <w:t xml:space="preserve">VAT (20%):</w:t>
      </w:r>
    </w:p>
    <w:p>
      <w:pPr>
        <w:pStyle w:val="BodyText"/>
      </w:pPr>
      <w:r>
        <w:t xml:space="preserve">147,600.00 RUB</w:t>
      </w:r>
    </w:p>
    <w:p>
      <w:pPr>
        <w:pStyle w:val="BodyText"/>
      </w:pPr>
      <w:r>
        <w:t xml:space="preserve">Grand Total:</w:t>
      </w:r>
    </w:p>
    <w:p>
      <w:pPr>
        <w:pStyle w:val="BodyText"/>
      </w:pPr>
      <w:r>
        <w:t xml:space="preserve">885,600.00 RUB</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date of this</w:t>
      </w:r>
      <w:r>
        <w:t xml:space="preserve"> </w:t>
      </w:r>
      <w:r>
        <w:rPr>
          <w:bCs/>
          <w:b/>
        </w:rPr>
        <w:t xml:space="preserve">Invoice</w:t>
      </w:r>
      <w:r>
        <w:t xml:space="preserve">. Late payments may incur a penalty of 0.1% per day as per the Civil Code of the Russian Federation.</w:t>
      </w:r>
    </w:p>
    <w:p>
      <w:pPr>
        <w:numPr>
          <w:ilvl w:val="0"/>
          <w:numId w:val="1001"/>
        </w:numPr>
        <w:pStyle w:val="Compact"/>
      </w:pPr>
      <w:r>
        <w:rPr>
          <w:bCs/>
          <w:b/>
        </w:rPr>
        <w:t xml:space="preserve">Currency:</w:t>
      </w:r>
      <w:r>
        <w:t xml:space="preserve"> </w:t>
      </w:r>
      <w:r>
        <w:t xml:space="preserve">All amounts are stated in Russian Rubles (RUB). Payments should be made via bank transfer to the account details listed above.</w:t>
      </w:r>
    </w:p>
    <w:p>
      <w:pPr>
        <w:numPr>
          <w:ilvl w:val="0"/>
          <w:numId w:val="1001"/>
        </w:numPr>
        <w:pStyle w:val="Compact"/>
      </w:pPr>
      <w:r>
        <w:rPr>
          <w:bCs/>
          <w:b/>
        </w:rPr>
        <w:t xml:space="preserve">Scope of Work:</w:t>
      </w:r>
      <w:r>
        <w:t xml:space="preserve"> </w:t>
      </w:r>
      <w:r>
        <w:t xml:space="preserve">This</w:t>
      </w:r>
      <w:r>
        <w:t xml:space="preserve"> </w:t>
      </w:r>
      <w:r>
        <w:rPr>
          <w:bCs/>
          <w:b/>
        </w:rPr>
        <w:t xml:space="preserve">Invoice</w:t>
      </w:r>
      <w:r>
        <w:t xml:space="preserve"> </w:t>
      </w:r>
      <w:r>
        <w:t xml:space="preserve">covers the professional engineering services provided by the designated</w:t>
      </w:r>
      <w:r>
        <w:t xml:space="preserve"> </w:t>
      </w:r>
      <w:r>
        <w:rPr>
          <w:bCs/>
          <w:b/>
        </w:rPr>
        <w:t xml:space="preserve">Chemical Engineer</w:t>
      </w:r>
      <w:r>
        <w:t xml:space="preserve"> </w:t>
      </w:r>
      <w:r>
        <w:t xml:space="preserve">as outlined in the contract dated September 15, 2023. Any additional services requested outside this scope will be billed separately.</w:t>
      </w:r>
    </w:p>
    <w:p>
      <w:pPr>
        <w:numPr>
          <w:ilvl w:val="0"/>
          <w:numId w:val="1001"/>
        </w:numPr>
        <w:pStyle w:val="Compact"/>
      </w:pPr>
      <w:r>
        <w:rPr>
          <w:bCs/>
          <w:b/>
        </w:rPr>
        <w:t xml:space="preserve">Regulatory Compliance:</w:t>
      </w:r>
      <w:r>
        <w:t xml:space="preserve"> </w:t>
      </w:r>
      <w:r>
        <w:t xml:space="preserve">All engineering recommendations and safety audits have been conducted in strict adherence to the technical regulations applicable to industrial facilities in</w:t>
      </w:r>
      <w:r>
        <w:t xml:space="preserve"> </w:t>
      </w:r>
      <w:r>
        <w:rPr>
          <w:bCs/>
          <w:b/>
        </w:rPr>
        <w:t xml:space="preserve">Russia Saint Petersburg</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rPr>
          <w:bCs/>
          <w:b/>
        </w:rPr>
        <w:t xml:space="preserve">Invoice</w:t>
      </w:r>
      <w:r>
        <w:t xml:space="preserve"> </w:t>
      </w:r>
      <w:r>
        <w:t xml:space="preserve">or the services rendered shall be resolved through negotiation. If unresolved, disputes will be settled in the commercial courts of Saint Petersburg, Russia.</w:t>
      </w:r>
    </w:p>
    <w:p>
      <w:pPr>
        <w:numPr>
          <w:ilvl w:val="0"/>
          <w:numId w:val="1001"/>
        </w:numPr>
        <w:pStyle w:val="Compact"/>
      </w:pPr>
      <w:r>
        <w:rPr>
          <w:bCs/>
          <w:b/>
        </w:rPr>
        <w:t xml:space="preserve">Confidentiality:</w:t>
      </w:r>
      <w:r>
        <w:t xml:space="preserve"> </w:t>
      </w:r>
      <w:r>
        <w:t xml:space="preserve">The</w:t>
      </w:r>
      <w:r>
        <w:t xml:space="preserve"> </w:t>
      </w:r>
      <w:r>
        <w:rPr>
          <w:bCs/>
          <w:b/>
        </w:rPr>
        <w:t xml:space="preserve">Chemical Engineer</w:t>
      </w:r>
      <w:r>
        <w:t xml:space="preserve"> </w:t>
      </w:r>
      <w:r>
        <w:t xml:space="preserve">and NeuroChem Solutions Ltd. agree to maintain the confidentiality of all proprietary data and processes observed at the PetroTech Industries facility in</w:t>
      </w:r>
      <w:r>
        <w:t xml:space="preserve"> </w:t>
      </w:r>
      <w:r>
        <w:rPr>
          <w:bCs/>
          <w:b/>
        </w:rPr>
        <w:t xml:space="preserve">Russia Saint Petersburg</w:t>
      </w:r>
      <w:r>
        <w:t xml:space="preserve">.</w:t>
      </w:r>
    </w:p>
    <w:bookmarkEnd w:id="24"/>
    <w:p>
      <w:pPr>
        <w:pStyle w:val="FirstParagraph"/>
      </w:pPr>
      <w:r>
        <w:t xml:space="preserve">Thank you for your business. We appreciate the opportunity to contribute to the advancement of chemical engineering standards in</w:t>
      </w:r>
      <w:r>
        <w:t xml:space="preserve"> </w:t>
      </w:r>
      <w:r>
        <w:rPr>
          <w:bCs/>
          <w:b/>
        </w:rPr>
        <w:t xml:space="preserve">Russia Saint Petersburg</w:t>
      </w:r>
      <w:r>
        <w:t xml:space="preserve">.</w:t>
      </w:r>
    </w:p>
    <w:p>
      <w:pPr>
        <w:pStyle w:val="BodyText"/>
      </w:pPr>
      <w:r>
        <w:t xml:space="preserve">NeuroChem Solutions Ltd. | INN: 7801234567 | Russia, Saint Petersburg</w:t>
      </w:r>
    </w:p>
    <w:p>
      <w:pPr>
        <w:pStyle w:val="BodyText"/>
      </w:pPr>
      <w:r>
        <w:t xml:space="preserve">This is a computer-generated</w:t>
      </w:r>
      <w:r>
        <w:t xml:space="preserve"> </w:t>
      </w:r>
      <w:r>
        <w:rPr>
          <w:bCs/>
          <w:b/>
        </w:rPr>
        <w:t xml:space="preserve">Invoice</w:t>
      </w:r>
      <w:r>
        <w:t xml:space="preserve"> </w:t>
      </w:r>
      <w:r>
        <w:t xml:space="preserve">and does not require a physical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2026-10-10T08:10:12Z</dcterms:created>
  <dcterms:modified xsi:type="dcterms:W3CDTF">2026-10-10T08:10:12Z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