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petrochemical-solutions"/>
    <w:p>
      <w:pPr>
        <w:pStyle w:val="Heading1"/>
      </w:pPr>
      <w:r>
        <w:t xml:space="preserve">Advanced Petrochemical Solutions</w:t>
      </w:r>
    </w:p>
    <w:p>
      <w:pPr>
        <w:pStyle w:val="FirstParagraph"/>
      </w:pPr>
      <w:r>
        <w:t xml:space="preserve">Industrial Area 30, Jeddah, Saudi Arabia</w:t>
      </w:r>
      <w:r>
        <w:br/>
      </w:r>
      <w:r>
        <w:t xml:space="preserve">P.O. Box 45678</w:t>
      </w:r>
      <w:r>
        <w:br/>
      </w:r>
      <w:r>
        <w:t xml:space="preserve">VAT Registration Number: 310123456789003</w:t>
      </w:r>
      <w:r>
        <w:br/>
      </w:r>
      <w:r>
        <w:t xml:space="preserve">Commercial Registration: 4030000000</w:t>
      </w:r>
      <w:r>
        <w:br/>
      </w:r>
      <w:r>
        <w:t xml:space="preserve">Phone: +966 12 345 6789</w:t>
      </w:r>
      <w:r>
        <w:br/>
      </w:r>
      <w:r>
        <w:t xml:space="preserve">Email: billing@advancedpetro.sa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Dr. Ahmed Al-Fahad</w:t>
      </w:r>
      <w:r>
        <w:br/>
      </w:r>
      <w:r>
        <w:t xml:space="preserve">Senior Chemical Engineer</w:t>
      </w:r>
      <w:r>
        <w:br/>
      </w:r>
      <w:r>
        <w:t xml:space="preserve">Advanced Petrochemical Solutions</w:t>
      </w:r>
      <w:r>
        <w:br/>
      </w:r>
      <w:r>
        <w:t xml:space="preserve">Jeddah, Saudi Arabia</w:t>
      </w:r>
    </w:p>
    <w:bookmarkEnd w:id="22"/>
    <w:bookmarkStart w:id="23" w:name="bill-to-client"/>
    <w:p>
      <w:pPr>
        <w:pStyle w:val="Heading3"/>
      </w:pPr>
      <w:r>
        <w:t xml:space="preserve">Bill To (Client)</w:t>
      </w:r>
    </w:p>
    <w:p>
      <w:pPr>
        <w:pStyle w:val="FirstParagraph"/>
      </w:pPr>
      <w:r>
        <w:rPr>
          <w:bCs/>
          <w:b/>
        </w:rPr>
        <w:t xml:space="preserve">Red Sea Refinery Operations Ltd.</w:t>
      </w:r>
      <w:r>
        <w:br/>
      </w:r>
      <w:r>
        <w:t xml:space="preserve">Attn: Procurement Department</w:t>
      </w:r>
      <w:r>
        <w:br/>
      </w:r>
      <w:r>
        <w:t xml:space="preserve">Yanbu Industrial City Branch</w:t>
      </w:r>
      <w:r>
        <w:br/>
      </w:r>
      <w:r>
        <w:t xml:space="preserve">Jeddah, Saudi Arabia</w:t>
      </w:r>
      <w:r>
        <w:br/>
      </w:r>
      <w:r>
        <w:t xml:space="preserve">VAT Number: 300987654321003</w:t>
      </w:r>
    </w:p>
    <w:bookmarkEnd w:id="23"/>
    <w:bookmarkStart w:id="24" w:name="Xda5efb06673550e58af4feec526658b9a0f4a11"/>
    <w:p>
      <w:pPr>
        <w:pStyle w:val="Heading3"/>
      </w:pPr>
      <w:r>
        <w:t xml:space="preserve">Project Reference: Process Optimization &amp; Safety Audit - Jeddah Refinery Unit 4</w:t>
      </w:r>
    </w:p>
    <w:p>
      <w:pPr>
        <w:pStyle w:val="FirstParagraph"/>
      </w:pPr>
      <w:r>
        <w:t xml:space="preserve">This Invoice serves as a formal request for payment regarding the specialized consulting services provided by our team of expert Chemical Engineers. These services were conducted in strict accordance with the technical specifications and safety regulations mandated by the Saudi Arabian Standards Organization (SASO) and the Ministry of Energy. The scope of work focused on enhancing the efficiency of the hydrocarbon processing units located within the Jeddah industrial zone, ensuring compliance with local environmental laws and international engineering standards.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Process Flow Diagram (PFD) Review:</w:t>
            </w:r>
            <w:r>
              <w:br/>
            </w:r>
            <w:r>
              <w:t xml:space="preserve">Comprehensive analysis of existing chemical reaction pathways and separation processes. This service involved a detailed audit by a licensed Chemical Engineer to identify bottlenecks in the distillation columns and heat exchangers. The review ensures that the thermodynamic calculations align with current operational data in the Jeddah facility.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Hazardous Material Safety Assessment:</w:t>
            </w:r>
            <w:r>
              <w:br/>
            </w:r>
            <w:r>
              <w:t xml:space="preserve">Evaluation of chemical storage and handling protocols. Our Chemical Engineer conducted a risk assessment regarding the storage of volatile organic compounds (VOCs) and corrosive acids. This assessment is critical for maintaining compliance with the Saudi Civil Defense regulations and ensuring the safety of personnel in the Jeddah industrial sector.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r>
      <w:tr>
        <w:tc>
          <w:tcPr/>
          <w:p>
            <w:pPr>
              <w:pStyle w:val="Compact"/>
              <w:jc w:val="left"/>
            </w:pPr>
            <w:r>
              <w:t xml:space="preserve">3</w:t>
            </w:r>
          </w:p>
        </w:tc>
        <w:tc>
          <w:tcPr/>
          <w:p>
            <w:pPr>
              <w:pStyle w:val="Compact"/>
              <w:jc w:val="left"/>
            </w:pPr>
            <w:r>
              <w:rPr>
                <w:bCs/>
                <w:b/>
              </w:rPr>
              <w:t xml:space="preserve">Effluent Treatment System Optimization:</w:t>
            </w:r>
            <w:r>
              <w:br/>
            </w:r>
            <w:r>
              <w:t xml:space="preserve">Design consultation for the wastewater treatment plant to reduce chemical oxygen demand (COD) and biological oxygen demand (BOD). The Chemical Engineer proposed a new coagulation-flocculation process tailored to the specific salinity levels found in the Jeddah coastal environment, ensuring discharge meets the National Center for Environmental Compliance standards.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Technical Reporting &amp; Staff Training:</w:t>
            </w:r>
            <w:r>
              <w:br/>
            </w:r>
            <w:r>
              <w:t xml:space="preserve">Preparation of a detailed engineering report summarizing findings and recommendations. Additionally, a 4-hour workshop was conducted for the site operators in Jeddah regarding the safe handling of new chemical additives and emergency response procedures for chemical spills.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56,000.00 SAR</w:t>
            </w:r>
          </w:p>
        </w:tc>
      </w:tr>
      <w:tr>
        <w:tc>
          <w:tcPr/>
          <w:p>
            <w:pPr>
              <w:pStyle w:val="Compact"/>
              <w:jc w:val="left"/>
            </w:pPr>
            <w:r>
              <w:t xml:space="preserve">VAT (15%):</w:t>
            </w:r>
          </w:p>
        </w:tc>
        <w:tc>
          <w:tcPr/>
          <w:p>
            <w:pPr>
              <w:pStyle w:val="Compact"/>
              <w:jc w:val="right"/>
            </w:pPr>
            <w:r>
              <w:t xml:space="preserve">8,400.00 SAR</w:t>
            </w:r>
          </w:p>
        </w:tc>
      </w:tr>
      <w:tr>
        <w:tc>
          <w:tcPr/>
          <w:p>
            <w:pPr>
              <w:pStyle w:val="Compact"/>
              <w:jc w:val="left"/>
            </w:pPr>
            <w:r>
              <w:t xml:space="preserve">Total Due:</w:t>
            </w:r>
          </w:p>
        </w:tc>
        <w:tc>
          <w:tcPr/>
          <w:p>
            <w:pPr>
              <w:pStyle w:val="Compact"/>
              <w:jc w:val="right"/>
            </w:pPr>
            <w:r>
              <w:t xml:space="preserve">64,400.00 SAR</w:t>
            </w:r>
          </w:p>
        </w:tc>
      </w:tr>
    </w:tbl>
    <w:bookmarkStart w:id="25" w:name="payment-instructions"/>
    <w:p>
      <w:pPr>
        <w:pStyle w:val="Heading3"/>
      </w:pPr>
      <w:r>
        <w:t xml:space="preserve">Payment Instructions</w:t>
      </w:r>
    </w:p>
    <w:p>
      <w:pPr>
        <w:pStyle w:val="FirstParagraph"/>
      </w:pPr>
      <w:r>
        <w:t xml:space="preserve">Please remit payment within 30 days of the invoice date. Payments should be made via bank transfer to the following account details:</w:t>
      </w:r>
    </w:p>
    <w:p>
      <w:pPr>
        <w:numPr>
          <w:ilvl w:val="0"/>
          <w:numId w:val="1001"/>
        </w:numPr>
        <w:pStyle w:val="Compact"/>
      </w:pPr>
      <w:r>
        <w:rPr>
          <w:bCs/>
          <w:b/>
        </w:rPr>
        <w:t xml:space="preserve">Bank Name:</w:t>
      </w:r>
      <w:r>
        <w:t xml:space="preserve"> </w:t>
      </w:r>
      <w:r>
        <w:t xml:space="preserve">Al Rajhi Bank</w:t>
      </w:r>
    </w:p>
    <w:p>
      <w:pPr>
        <w:numPr>
          <w:ilvl w:val="0"/>
          <w:numId w:val="1001"/>
        </w:numPr>
        <w:pStyle w:val="Compact"/>
      </w:pPr>
      <w:r>
        <w:rPr>
          <w:bCs/>
          <w:b/>
        </w:rPr>
        <w:t xml:space="preserve">Branch:</w:t>
      </w:r>
      <w:r>
        <w:t xml:space="preserve"> </w:t>
      </w:r>
      <w:r>
        <w:t xml:space="preserve">Jeddah Al Rawdah</w:t>
      </w:r>
    </w:p>
    <w:p>
      <w:pPr>
        <w:numPr>
          <w:ilvl w:val="0"/>
          <w:numId w:val="1001"/>
        </w:numPr>
        <w:pStyle w:val="Compact"/>
      </w:pPr>
      <w:r>
        <w:rPr>
          <w:bCs/>
          <w:b/>
        </w:rPr>
        <w:t xml:space="preserve">Account Name:</w:t>
      </w:r>
      <w:r>
        <w:t xml:space="preserve"> </w:t>
      </w:r>
      <w:r>
        <w:t xml:space="preserve">Advanced Petrochemical Solutions</w:t>
      </w:r>
    </w:p>
    <w:p>
      <w:pPr>
        <w:numPr>
          <w:ilvl w:val="0"/>
          <w:numId w:val="1001"/>
        </w:numPr>
        <w:pStyle w:val="Compact"/>
      </w:pPr>
      <w:r>
        <w:rPr>
          <w:bCs/>
          <w:b/>
        </w:rPr>
        <w:t xml:space="preserve">IBAN:</w:t>
      </w:r>
      <w:r>
        <w:t xml:space="preserve"> </w:t>
      </w:r>
      <w:r>
        <w:t xml:space="preserve">SA03 8000 0000 6080 1016 7519</w:t>
      </w:r>
    </w:p>
    <w:p>
      <w:pPr>
        <w:numPr>
          <w:ilvl w:val="0"/>
          <w:numId w:val="1001"/>
        </w:numPr>
        <w:pStyle w:val="Compact"/>
      </w:pPr>
      <w:r>
        <w:rPr>
          <w:bCs/>
          <w:b/>
        </w:rPr>
        <w:t xml:space="preserve">SWIFT Code:</w:t>
      </w:r>
      <w:r>
        <w:t xml:space="preserve"> </w:t>
      </w:r>
      <w:r>
        <w:t xml:space="preserve">NBSASARIXXX</w:t>
      </w:r>
    </w:p>
    <w:p>
      <w:pPr>
        <w:pStyle w:val="FirstParagraph"/>
      </w:pPr>
      <w:r>
        <w:t xml:space="preserve">Please reference the Invoice Number (INV-JED-2023-089) in the payment description to ensure proper allocation of funds.</w:t>
      </w:r>
    </w:p>
    <w:bookmarkEnd w:id="25"/>
    <w:bookmarkStart w:id="26" w:name="terms-and-conditions"/>
    <w:p>
      <w:pPr>
        <w:pStyle w:val="Heading3"/>
      </w:pPr>
      <w:r>
        <w:t xml:space="preserve">Terms and Conditions</w:t>
      </w:r>
    </w:p>
    <w:p>
      <w:pPr>
        <w:pStyle w:val="FirstParagraph"/>
      </w:pPr>
      <w:r>
        <w:t xml:space="preserve">1.</w:t>
      </w:r>
      <w:r>
        <w:t xml:space="preserve"> </w:t>
      </w:r>
      <w:r>
        <w:rPr>
          <w:bCs/>
          <w:b/>
        </w:rPr>
        <w:t xml:space="preserve">Validity:</w:t>
      </w:r>
      <w:r>
        <w:t xml:space="preserve"> </w:t>
      </w:r>
      <w:r>
        <w:t xml:space="preserve">This Invoice is valid for 30 days from the date of issue. Late payments may incur a penalty fee of 1.5% per month in accordance with Saudi Arabian commercial law.</w:t>
      </w:r>
    </w:p>
    <w:p>
      <w:pPr>
        <w:pStyle w:val="BodyText"/>
      </w:pPr>
      <w:r>
        <w:t xml:space="preserve">2.</w:t>
      </w:r>
      <w:r>
        <w:t xml:space="preserve"> </w:t>
      </w:r>
      <w:r>
        <w:rPr>
          <w:bCs/>
          <w:b/>
        </w:rPr>
        <w:t xml:space="preserve">Scope of Work:</w:t>
      </w:r>
      <w:r>
        <w:t xml:space="preserve"> </w:t>
      </w:r>
      <w:r>
        <w:t xml:space="preserve">The services described above were performed by qualified Chemical Engineers holding valid licenses from the Saudi Council of Engineers. The recommendations provided are based on the data available at the time of the audit in Jeddah.</w:t>
      </w:r>
    </w:p>
    <w:p>
      <w:pPr>
        <w:pStyle w:val="BodyText"/>
      </w:pPr>
      <w:r>
        <w:t xml:space="preserve">3.</w:t>
      </w:r>
      <w:r>
        <w:t xml:space="preserve"> </w:t>
      </w:r>
      <w:r>
        <w:rPr>
          <w:bCs/>
          <w:b/>
        </w:rPr>
        <w:t xml:space="preserve">Liability:</w:t>
      </w:r>
      <w:r>
        <w:t xml:space="preserve"> </w:t>
      </w:r>
      <w:r>
        <w:t xml:space="preserve">Advanced Petrochemical Solutions shall not be held liable for any indirect or consequential damages arising from the implementation of the recommendations provided in this report.</w:t>
      </w:r>
    </w:p>
    <w:p>
      <w:pPr>
        <w:pStyle w:val="BodyText"/>
      </w:pPr>
      <w:r>
        <w:t xml:space="preserve">4.</w:t>
      </w:r>
      <w:r>
        <w:t xml:space="preserve"> </w:t>
      </w:r>
      <w:r>
        <w:rPr>
          <w:bCs/>
          <w:b/>
        </w:rPr>
        <w:t xml:space="preserve">Dispute Resolution:</w:t>
      </w:r>
      <w:r>
        <w:t xml:space="preserve"> </w:t>
      </w:r>
      <w:r>
        <w:t xml:space="preserve">Any disputes arising from this Invoice or the services rendered shall be subject to the exclusive jurisdiction of the courts in Jeddah, Saudi Arabia.</w:t>
      </w:r>
    </w:p>
    <w:p>
      <w:pPr>
        <w:pStyle w:val="BodyText"/>
      </w:pPr>
      <w:r>
        <w:t xml:space="preserve">5.</w:t>
      </w:r>
      <w:r>
        <w:t xml:space="preserve"> </w:t>
      </w:r>
      <w:r>
        <w:rPr>
          <w:bCs/>
          <w:b/>
        </w:rPr>
        <w:t xml:space="preserve">VAT Compliance:</w:t>
      </w:r>
      <w:r>
        <w:t xml:space="preserve"> </w:t>
      </w:r>
      <w:r>
        <w:t xml:space="preserve">This Invoice is issued in compliance with the Value Added Tax Law of the Kingdom of Saudi Arabia. The VAT rate applied is 15%.</w:t>
      </w:r>
    </w:p>
    <w:bookmarkEnd w:id="26"/>
    <w:p>
      <w:pPr>
        <w:pStyle w:val="BodyText"/>
      </w:pPr>
      <w:r>
        <w:rPr>
          <w:bCs/>
          <w:b/>
        </w:rPr>
        <w:t xml:space="preserve">Disclaimer:</w:t>
      </w:r>
      <w:r>
        <w:t xml:space="preserve"> </w:t>
      </w:r>
      <w:r>
        <w:t xml:space="preserve">This document is a formal Invoice generated for business transactions within the Kingdom of Saudi Arabia. It reflects the professional services rendered by a Chemical Engineer specializing in petrochemical processes, safety engineering, and environmental compliance. The specific details regarding the location (Jeddah) and the nature of the work are tailored to the industrial requirements of the region. All financial figures are denominated in Saudi Riyals (SAR).</w:t>
      </w:r>
    </w:p>
    <w:p>
      <w:pPr>
        <w:pStyle w:val="BodyText"/>
      </w:pPr>
      <w:r>
        <w:t xml:space="preserve">By accepting this Invoice, the client acknowledges receipt of the engineering services and agrees to the terms outlined above. This document serves as a legal record of the transaction between the service provider and the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2026-10-10T08:37:43Z</dcterms:created>
  <dcterms:modified xsi:type="dcterms:W3CDTF">2026-10-10T08:37:43Z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