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Chemical</w:t>
      </w:r>
      <w:r>
        <w:t xml:space="preserve"> </w:t>
      </w:r>
      <w:r>
        <w:t xml:space="preserve">Engineering</w:t>
      </w:r>
      <w:r>
        <w:t xml:space="preserve"> </w:t>
      </w:r>
      <w:r>
        <w:t xml:space="preserve">Services</w:t>
      </w:r>
    </w:p>
    <w:bookmarkStart w:id="20" w:name="lanka-process-engineering-solutions"/>
    <w:p>
      <w:pPr>
        <w:pStyle w:val="Heading1"/>
      </w:pPr>
      <w:r>
        <w:t xml:space="preserve">Lanka Process Engineering Solutions</w:t>
      </w:r>
    </w:p>
    <w:p>
      <w:pPr>
        <w:pStyle w:val="FirstParagraph"/>
      </w:pPr>
      <w:r>
        <w:t xml:space="preserve">No. 45, Galle Road, Colombo 03, Sri Lanka</w:t>
      </w:r>
    </w:p>
    <w:p>
      <w:pPr>
        <w:pStyle w:val="BodyText"/>
      </w:pPr>
      <w:r>
        <w:t xml:space="preserve">Tel: +94 11 234 5678 | Email: accounts@lankaprocess.lk</w:t>
      </w:r>
    </w:p>
    <w:p>
      <w:pPr>
        <w:pStyle w:val="BodyText"/>
      </w:pPr>
      <w:r>
        <w:t xml:space="preserve">Reg No: PV-123456 | VAT No: 123456789V</w:t>
      </w:r>
    </w:p>
    <w:bookmarkEnd w:id="20"/>
    <w:bookmarkStart w:id="21" w:name="invoice"/>
    <w:p>
      <w:pPr>
        <w:pStyle w:val="Heading2"/>
      </w:pPr>
      <w:r>
        <w:t xml:space="preserve">INVOICE</w:t>
      </w:r>
    </w:p>
    <w:p>
      <w:pPr>
        <w:pStyle w:val="FirstParagraph"/>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to"/>
    <w:p>
      <w:pPr>
        <w:pStyle w:val="Heading3"/>
      </w:pPr>
      <w:r>
        <w:t xml:space="preserve">Bill To:</w:t>
      </w:r>
    </w:p>
    <w:p>
      <w:pPr>
        <w:pStyle w:val="FirstParagraph"/>
      </w:pPr>
      <w:r>
        <w:rPr>
          <w:bCs/>
          <w:b/>
        </w:rPr>
        <w:t xml:space="preserve">Horizon Petrochemical Industries (Pvt) Ltd</w:t>
      </w:r>
    </w:p>
    <w:p>
      <w:pPr>
        <w:pStyle w:val="BodyText"/>
      </w:pPr>
      <w:r>
        <w:t xml:space="preserve">Plot 12, Biyagama Export Processing Zone</w:t>
      </w:r>
    </w:p>
    <w:p>
      <w:pPr>
        <w:pStyle w:val="BodyText"/>
      </w:pPr>
      <w:r>
        <w:t xml:space="preserve">Colombo District, Sri Lanka</w:t>
      </w:r>
    </w:p>
    <w:p>
      <w:pPr>
        <w:pStyle w:val="BodyText"/>
      </w:pPr>
      <w:r>
        <w:t xml:space="preserve">Attn: Mr. R. Perera, Procurement Manager</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LPE-INV-2023-089</w:t>
      </w:r>
    </w:p>
    <w:p>
      <w:pPr>
        <w:pStyle w:val="BodyText"/>
      </w:pPr>
      <w:r>
        <w:rPr>
          <w:bCs/>
          <w:b/>
        </w:rPr>
        <w:t xml:space="preserve">Project Reference:</w:t>
      </w:r>
      <w:r>
        <w:t xml:space="preserve"> </w:t>
      </w:r>
      <w:r>
        <w:t xml:space="preserve">Reactor Optimization Phase II</w:t>
      </w:r>
    </w:p>
    <w:p>
      <w:pPr>
        <w:pStyle w:val="BodyText"/>
      </w:pPr>
      <w:r>
        <w:rPr>
          <w:bCs/>
          <w:b/>
        </w:rPr>
        <w:t xml:space="preserve">Service Location:</w:t>
      </w:r>
      <w:r>
        <w:t xml:space="preserve"> </w:t>
      </w:r>
      <w:r>
        <w:t xml:space="preserve">Biyagama Industrial Estate, Colombo</w:t>
      </w:r>
    </w:p>
    <w:p>
      <w:pPr>
        <w:pStyle w:val="BodyText"/>
      </w:pPr>
      <w:r>
        <w:rPr>
          <w:bCs/>
          <w:b/>
        </w:rPr>
        <w:t xml:space="preserve">Payment Terms:</w:t>
      </w:r>
      <w:r>
        <w:t xml:space="preserve"> </w:t>
      </w:r>
      <w:r>
        <w:t xml:space="preserve">Net 30 Days</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Chemical Engineering Services</w:t>
            </w:r>
          </w:p>
        </w:tc>
        <w:tc>
          <w:tcPr/>
          <w:p>
            <w:pPr>
              <w:pStyle w:val="Compact"/>
              <w:jc w:val="left"/>
            </w:pPr>
            <w:r>
              <w:t xml:space="preserve">Hours / Qty</w:t>
            </w:r>
          </w:p>
        </w:tc>
        <w:tc>
          <w:tcPr/>
          <w:p>
            <w:pPr>
              <w:pStyle w:val="Compact"/>
              <w:jc w:val="left"/>
            </w:pPr>
            <w:r>
              <w:t xml:space="preserve">Rate (LKR)</w:t>
            </w:r>
          </w:p>
        </w:tc>
        <w:tc>
          <w:tcPr/>
          <w:p>
            <w:pPr>
              <w:pStyle w:val="Compact"/>
              <w:jc w:val="left"/>
            </w:pPr>
            <w:r>
              <w:t xml:space="preserve">Amount (LKR)</w:t>
            </w:r>
          </w:p>
        </w:tc>
      </w:tr>
      <w:tr>
        <w:tc>
          <w:tcPr/>
          <w:p>
            <w:pPr>
              <w:pStyle w:val="Compact"/>
              <w:jc w:val="left"/>
            </w:pPr>
            <w:r>
              <w:t xml:space="preserve">1</w:t>
            </w:r>
          </w:p>
        </w:tc>
        <w:tc>
          <w:tcPr/>
          <w:p>
            <w:pPr>
              <w:pStyle w:val="Compact"/>
              <w:jc w:val="left"/>
            </w:pPr>
            <w:r>
              <w:rPr>
                <w:bCs/>
                <w:b/>
              </w:rPr>
              <w:t xml:space="preserve">Process Design &amp; Simulation:</w:t>
            </w:r>
            <w:r>
              <w:t xml:space="preserve"> </w:t>
            </w:r>
            <w:r>
              <w:t xml:space="preserve">Comprehensive mass and energy balance calculations for the new distillation column unit. Includes Aspen Plus simulation modeling to optimize separation efficiency and reduce thermal load.</w:t>
            </w:r>
          </w:p>
        </w:tc>
        <w:tc>
          <w:tcPr/>
          <w:p>
            <w:pPr>
              <w:pStyle w:val="Compact"/>
              <w:jc w:val="left"/>
            </w:pPr>
            <w:r>
              <w:t xml:space="preserve">40 Hrs</w:t>
            </w:r>
          </w:p>
        </w:tc>
        <w:tc>
          <w:tcPr/>
          <w:p>
            <w:pPr>
              <w:pStyle w:val="Compact"/>
              <w:jc w:val="left"/>
            </w:pPr>
            <w:r>
              <w:t xml:space="preserve">15,000</w:t>
            </w:r>
          </w:p>
        </w:tc>
        <w:tc>
          <w:tcPr/>
          <w:p>
            <w:pPr>
              <w:pStyle w:val="Compact"/>
              <w:jc w:val="left"/>
            </w:pPr>
            <w:r>
              <w:t xml:space="preserve">600,000</w:t>
            </w:r>
          </w:p>
        </w:tc>
      </w:tr>
      <w:tr>
        <w:tc>
          <w:tcPr/>
          <w:p>
            <w:pPr>
              <w:pStyle w:val="Compact"/>
              <w:jc w:val="left"/>
            </w:pPr>
            <w:r>
              <w:t xml:space="preserve">2</w:t>
            </w:r>
          </w:p>
        </w:tc>
        <w:tc>
          <w:tcPr/>
          <w:p>
            <w:pPr>
              <w:pStyle w:val="Compact"/>
              <w:jc w:val="left"/>
            </w:pPr>
            <w:r>
              <w:rPr>
                <w:bCs/>
                <w:b/>
              </w:rPr>
              <w:t xml:space="preserve">Reactor Safety Analysis:</w:t>
            </w:r>
            <w:r>
              <w:t xml:space="preserve"> </w:t>
            </w:r>
            <w:r>
              <w:t xml:space="preserve">Hazard and Operability Study (HAZOP) for the exothermic polymerization reactor. Assessment of thermal runaway risks and recommendation of emergency relief systems compliant with Sri Lanka Standards (SLS).</w:t>
            </w:r>
          </w:p>
        </w:tc>
        <w:tc>
          <w:tcPr/>
          <w:p>
            <w:pPr>
              <w:pStyle w:val="Compact"/>
              <w:jc w:val="left"/>
            </w:pPr>
            <w:r>
              <w:t xml:space="preserve">25 Hrs</w:t>
            </w:r>
          </w:p>
        </w:tc>
        <w:tc>
          <w:tcPr/>
          <w:p>
            <w:pPr>
              <w:pStyle w:val="Compact"/>
              <w:jc w:val="left"/>
            </w:pPr>
            <w:r>
              <w:t xml:space="preserve">15,000</w:t>
            </w:r>
          </w:p>
        </w:tc>
        <w:tc>
          <w:tcPr/>
          <w:p>
            <w:pPr>
              <w:pStyle w:val="Compact"/>
              <w:jc w:val="left"/>
            </w:pPr>
            <w:r>
              <w:t xml:space="preserve">375,000</w:t>
            </w:r>
          </w:p>
        </w:tc>
      </w:tr>
      <w:tr>
        <w:tc>
          <w:tcPr/>
          <w:p>
            <w:pPr>
              <w:pStyle w:val="Compact"/>
              <w:jc w:val="left"/>
            </w:pPr>
            <w:r>
              <w:t xml:space="preserve">3</w:t>
            </w:r>
          </w:p>
        </w:tc>
        <w:tc>
          <w:tcPr/>
          <w:p>
            <w:pPr>
              <w:pStyle w:val="Compact"/>
              <w:jc w:val="left"/>
            </w:pPr>
            <w:r>
              <w:rPr>
                <w:bCs/>
                <w:b/>
              </w:rPr>
              <w:t xml:space="preserve">Piping &amp; Instrumentation Diagrams (P&amp;ID):</w:t>
            </w:r>
            <w:r>
              <w:t xml:space="preserve"> </w:t>
            </w:r>
            <w:r>
              <w:t xml:space="preserve">Detailed review and revision of P&amp;IDs for the solvent recovery section. Ensuring correct valve specifications, flow control loops, and safety interlocks are accurately represented.</w:t>
            </w:r>
          </w:p>
        </w:tc>
        <w:tc>
          <w:tcPr/>
          <w:p>
            <w:pPr>
              <w:pStyle w:val="Compact"/>
              <w:jc w:val="left"/>
            </w:pPr>
            <w:r>
              <w:t xml:space="preserve">30 Hrs</w:t>
            </w:r>
          </w:p>
        </w:tc>
        <w:tc>
          <w:tcPr/>
          <w:p>
            <w:pPr>
              <w:pStyle w:val="Compact"/>
              <w:jc w:val="left"/>
            </w:pPr>
            <w:r>
              <w:t xml:space="preserve">12,000</w:t>
            </w:r>
          </w:p>
        </w:tc>
        <w:tc>
          <w:tcPr/>
          <w:p>
            <w:pPr>
              <w:pStyle w:val="Compact"/>
              <w:jc w:val="left"/>
            </w:pPr>
            <w:r>
              <w:t xml:space="preserve">360,000</w:t>
            </w:r>
          </w:p>
        </w:tc>
      </w:tr>
      <w:tr>
        <w:tc>
          <w:tcPr/>
          <w:p>
            <w:pPr>
              <w:pStyle w:val="Compact"/>
              <w:jc w:val="left"/>
            </w:pPr>
            <w:r>
              <w:t xml:space="preserve">4</w:t>
            </w:r>
          </w:p>
        </w:tc>
        <w:tc>
          <w:tcPr/>
          <w:p>
            <w:pPr>
              <w:pStyle w:val="Compact"/>
              <w:jc w:val="left"/>
            </w:pPr>
            <w:r>
              <w:rPr>
                <w:bCs/>
                <w:b/>
              </w:rPr>
              <w:t xml:space="preserve">On-Site Commissioning Support:</w:t>
            </w:r>
            <w:r>
              <w:t xml:space="preserve"> </w:t>
            </w:r>
            <w:r>
              <w:t xml:space="preserve">Supervision of startup procedures for the new heat exchanger network. Troubleshooting pressure drop anomalies and calibrating temperature sensors in the Colombo facility.</w:t>
            </w:r>
          </w:p>
        </w:tc>
        <w:tc>
          <w:tcPr/>
          <w:p>
            <w:pPr>
              <w:pStyle w:val="Compact"/>
              <w:jc w:val="left"/>
            </w:pPr>
            <w:r>
              <w:t xml:space="preserve">10 Days</w:t>
            </w:r>
          </w:p>
        </w:tc>
        <w:tc>
          <w:tcPr/>
          <w:p>
            <w:pPr>
              <w:pStyle w:val="Compact"/>
              <w:jc w:val="left"/>
            </w:pPr>
            <w:r>
              <w:t xml:space="preserve">45,000</w:t>
            </w:r>
          </w:p>
        </w:tc>
        <w:tc>
          <w:tcPr/>
          <w:p>
            <w:pPr>
              <w:pStyle w:val="Compact"/>
              <w:jc w:val="left"/>
            </w:pPr>
            <w:r>
              <w:t xml:space="preserve">450,000</w:t>
            </w:r>
          </w:p>
        </w:tc>
      </w:tr>
      <w:tr>
        <w:tc>
          <w:tcPr/>
          <w:p>
            <w:pPr>
              <w:pStyle w:val="Compact"/>
              <w:jc w:val="left"/>
            </w:pPr>
            <w:r>
              <w:t xml:space="preserve">5</w:t>
            </w:r>
          </w:p>
        </w:tc>
        <w:tc>
          <w:tcPr/>
          <w:p>
            <w:pPr>
              <w:pStyle w:val="Compact"/>
              <w:jc w:val="left"/>
            </w:pPr>
            <w:r>
              <w:rPr>
                <w:bCs/>
                <w:b/>
              </w:rPr>
              <w:t xml:space="preserve">Wastewater Treatment Optimization:</w:t>
            </w:r>
            <w:r>
              <w:t xml:space="preserve"> </w:t>
            </w:r>
            <w:r>
              <w:t xml:space="preserve">Chemical dosing strategy formulation for neutralization of acidic effluent. Calculation of required caustic soda dosage to meet Central Environmental Authority (CEA) discharge limits.</w:t>
            </w:r>
          </w:p>
        </w:tc>
        <w:tc>
          <w:tcPr/>
          <w:p>
            <w:pPr>
              <w:pStyle w:val="Compact"/>
              <w:jc w:val="left"/>
            </w:pPr>
            <w:r>
              <w:t xml:space="preserve">15 Hrs</w:t>
            </w:r>
          </w:p>
        </w:tc>
        <w:tc>
          <w:tcPr/>
          <w:p>
            <w:pPr>
              <w:pStyle w:val="Compact"/>
              <w:jc w:val="left"/>
            </w:pPr>
            <w:r>
              <w:t xml:space="preserve">15,000</w:t>
            </w:r>
          </w:p>
        </w:tc>
        <w:tc>
          <w:tcPr/>
          <w:p>
            <w:pPr>
              <w:pStyle w:val="Compact"/>
              <w:jc w:val="left"/>
            </w:pPr>
            <w:r>
              <w:t xml:space="preserve">225,000</w:t>
            </w:r>
          </w:p>
        </w:tc>
      </w:tr>
    </w:tbl>
    <w:p>
      <w:pPr>
        <w:pStyle w:val="BodyText"/>
      </w:pPr>
      <w:r>
        <w:t xml:space="preserve">Subtotal:</w:t>
      </w:r>
      <w:r>
        <w:t xml:space="preserve"> </w:t>
      </w:r>
      <w:r>
        <w:t xml:space="preserve">1,910,000.00</w:t>
      </w:r>
    </w:p>
    <w:p>
      <w:pPr>
        <w:pStyle w:val="BodyText"/>
      </w:pPr>
      <w:r>
        <w:t xml:space="preserve">VAT (18%):</w:t>
      </w:r>
      <w:r>
        <w:t xml:space="preserve"> </w:t>
      </w:r>
      <w:r>
        <w:t xml:space="preserve">343,800.00</w:t>
      </w:r>
    </w:p>
    <w:p>
      <w:pPr>
        <w:pStyle w:val="BodyText"/>
      </w:pPr>
      <w:r>
        <w:t xml:space="preserve">Professional Service Tax (1%):</w:t>
      </w:r>
      <w:r>
        <w:t xml:space="preserve"> </w:t>
      </w:r>
      <w:r>
        <w:t xml:space="preserve">19,100.00</w:t>
      </w:r>
    </w:p>
    <w:p>
      <w:pPr>
        <w:pStyle w:val="BodyText"/>
      </w:pPr>
      <w:r>
        <w:t xml:space="preserve">Total Due (LKR):</w:t>
      </w:r>
      <w:r>
        <w:t xml:space="preserve"> </w:t>
      </w:r>
      <w:r>
        <w:t xml:space="preserve">2,272,900.00</w:t>
      </w:r>
    </w:p>
    <w:bookmarkStart w:id="24" w:name="terms-and-conditions-service-notes"/>
    <w:p>
      <w:pPr>
        <w:pStyle w:val="Heading4"/>
      </w:pPr>
      <w:r>
        <w:t xml:space="preserve">Terms and Conditions &amp; Service Notes:</w:t>
      </w:r>
    </w:p>
    <w:p>
      <w:pPr>
        <w:pStyle w:val="FirstParagraph"/>
      </w:pPr>
      <w:r>
        <w:t xml:space="preserve">1.</w:t>
      </w:r>
      <w:r>
        <w:t xml:space="preserve"> </w:t>
      </w:r>
      <w:r>
        <w:rPr>
          <w:bCs/>
          <w:b/>
        </w:rPr>
        <w:t xml:space="preserve">Payment Instructions:</w:t>
      </w:r>
      <w:r>
        <w:t xml:space="preserve"> </w:t>
      </w:r>
      <w:r>
        <w:t xml:space="preserve">Please make payment via bank transfer to Commercial Bank of Ceylon, Account No: 1234-5678-9012-3456, Branch: Colombo Fort. Reference Invoice Number LPE-INV-2023-089.</w:t>
      </w:r>
    </w:p>
    <w:p>
      <w:pPr>
        <w:pStyle w:val="BodyText"/>
      </w:pPr>
      <w:r>
        <w:t xml:space="preserve">2.</w:t>
      </w:r>
      <w:r>
        <w:t xml:space="preserve"> </w:t>
      </w:r>
      <w:r>
        <w:rPr>
          <w:bCs/>
          <w:b/>
        </w:rPr>
        <w:t xml:space="preserve">Scope of Work:</w:t>
      </w:r>
      <w:r>
        <w:t xml:space="preserve"> </w:t>
      </w:r>
      <w:r>
        <w:t xml:space="preserve">This Invoice covers the professional services rendered by our senior Chemical Engineers regarding the process optimization project. All calculations adhere to standard chemical engineering principles and local regulations applicable in Sri Lanka Colombo.</w:t>
      </w:r>
    </w:p>
    <w:p>
      <w:pPr>
        <w:pStyle w:val="BodyText"/>
      </w:pPr>
      <w:r>
        <w:t xml:space="preserve">3.</w:t>
      </w:r>
      <w:r>
        <w:t xml:space="preserve"> </w:t>
      </w:r>
      <w:r>
        <w:rPr>
          <w:bCs/>
          <w:b/>
        </w:rPr>
        <w:t xml:space="preserve">Validity:</w:t>
      </w:r>
      <w:r>
        <w:t xml:space="preserve"> </w:t>
      </w:r>
      <w:r>
        <w:t xml:space="preserve">This Invoice is valid for 30 days from the date of issue. Late payments may incur a penalty interest of 1.5% per month.</w:t>
      </w:r>
    </w:p>
    <w:p>
      <w:pPr>
        <w:pStyle w:val="BodyText"/>
      </w:pPr>
      <w:r>
        <w:t xml:space="preserve">4.</w:t>
      </w:r>
      <w:r>
        <w:t xml:space="preserve"> </w:t>
      </w:r>
      <w:r>
        <w:rPr>
          <w:bCs/>
          <w:b/>
        </w:rPr>
        <w:t xml:space="preserve">Compliance:</w:t>
      </w:r>
      <w:r>
        <w:t xml:space="preserve"> </w:t>
      </w:r>
      <w:r>
        <w:t xml:space="preserve">All engineering designs and safety assessments provided are compliant with the relevant Sri Lanka Standards (SLS) and guidelines issued by the Institution of Engineers, Sri Lanka.</w:t>
      </w:r>
    </w:p>
    <w:p>
      <w:pPr>
        <w:pStyle w:val="BodyText"/>
      </w:pPr>
      <w:r>
        <w:t xml:space="preserve">5.</w:t>
      </w:r>
      <w:r>
        <w:t xml:space="preserve"> </w:t>
      </w:r>
      <w:r>
        <w:rPr>
          <w:bCs/>
          <w:b/>
        </w:rPr>
        <w:t xml:space="preserve">Disputes:</w:t>
      </w:r>
      <w:r>
        <w:t xml:space="preserve"> </w:t>
      </w:r>
      <w:r>
        <w:t xml:space="preserve">Any discrepancies regarding this Invoice must be reported within 7 days of receipt. Please contact our accounts department at accounts@lankaprocess.lk.</w:t>
      </w:r>
    </w:p>
    <w:p>
      <w:pPr>
        <w:pStyle w:val="BodyText"/>
      </w:pPr>
      <w:r>
        <w:t xml:space="preserve">Thank you for your business. We look forward to continuing our partnership in advancing industrial chemical processes in Sri Lanka.</w:t>
      </w:r>
    </w:p>
    <w:bookmarkEnd w:id="24"/>
    <w:p>
      <w:pPr>
        <w:pStyle w:val="BodyText"/>
      </w:pPr>
      <w:r>
        <w:t xml:space="preserve">Lanka Process Engineering Solutions (Pvt) Ltd | Registered in Sri Lanka | Colombo</w:t>
      </w:r>
    </w:p>
    <w:p>
      <w:pPr>
        <w:pStyle w:val="BodyText"/>
      </w:pPr>
      <w:r>
        <w:t xml:space="preserve">This is a computer-generated Invoice and does not require a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Chemical Engineering Services</dc:title>
  <dc:creator/>
  <dc:language>en</dc:language>
  <cp:keywords/>
  <dcterms:created xsi:type="dcterms:W3CDTF">2026-10-10T09:13:30Z</dcterms:created>
  <dcterms:modified xsi:type="dcterms:W3CDTF">2026-10-10T09:13:30Z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