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Invoice</w:t>
      </w:r>
      <w:r>
        <w:t xml:space="preserve"> </w:t>
      </w:r>
      <w:r>
        <w:t xml:space="preserve">-</w:t>
      </w:r>
      <w:r>
        <w:t xml:space="preserve"> </w:t>
      </w:r>
      <w:r>
        <w:t xml:space="preserve">Chemical</w:t>
      </w:r>
      <w:r>
        <w:t xml:space="preserve"> </w:t>
      </w:r>
      <w:r>
        <w:t xml:space="preserve">Engineering</w:t>
      </w:r>
      <w:r>
        <w:t xml:space="preserve"> </w:t>
      </w:r>
      <w:r>
        <w:t xml:space="preserve">Services</w:t>
      </w:r>
    </w:p>
    <w:bookmarkStart w:id="20" w:name="manchester-process-solutions-ltd."/>
    <w:p>
      <w:pPr>
        <w:pStyle w:val="Heading1"/>
      </w:pPr>
      <w:r>
        <w:t xml:space="preserve">Manchester Process Solutions Ltd.</w:t>
      </w:r>
    </w:p>
    <w:p>
      <w:pPr>
        <w:pStyle w:val="FirstParagraph"/>
      </w:pPr>
      <w:r>
        <w:rPr>
          <w:bCs/>
          <w:b/>
        </w:rPr>
        <w:t xml:space="preserve">Specialist Chemical Engineering Consultancy</w:t>
      </w:r>
    </w:p>
    <w:p>
      <w:pPr>
        <w:pStyle w:val="BodyText"/>
      </w:pPr>
      <w:r>
        <w:t xml:space="preserve">Unit 4, Innovation Park, Salford Quays</w:t>
      </w:r>
    </w:p>
    <w:p>
      <w:pPr>
        <w:pStyle w:val="BodyText"/>
      </w:pPr>
      <w:r>
        <w:t xml:space="preserve">Manchester, M50 3AZ</w:t>
      </w:r>
    </w:p>
    <w:p>
      <w:pPr>
        <w:pStyle w:val="BodyText"/>
      </w:pPr>
      <w:r>
        <w:t xml:space="preserve">United Kingdom</w:t>
      </w:r>
    </w:p>
    <w:p>
      <w:pPr>
        <w:pStyle w:val="BodyText"/>
      </w:pPr>
      <w:r>
        <w:t xml:space="preserve">Email: accounts@manchesterprocess.co.uk</w:t>
      </w:r>
    </w:p>
    <w:p>
      <w:pPr>
        <w:pStyle w:val="BodyText"/>
      </w:pPr>
      <w:r>
        <w:t xml:space="preserve">VAT No: GB 123 4567 89</w:t>
      </w:r>
    </w:p>
    <w:bookmarkEnd w:id="20"/>
    <w:bookmarkStart w:id="21" w:name="invoice"/>
    <w:p>
      <w:pPr>
        <w:pStyle w:val="Heading2"/>
      </w:pPr>
      <w:r>
        <w:t xml:space="preserve">Invoice</w:t>
      </w:r>
    </w:p>
    <w:p>
      <w:pPr>
        <w:pStyle w:val="FirstParagraph"/>
      </w:pPr>
      <w:r>
        <w:rPr>
          <w:bCs/>
          <w:b/>
        </w:rPr>
        <w:t xml:space="preserve">Invoice Number:</w:t>
      </w:r>
      <w:r>
        <w:t xml:space="preserve"> </w:t>
      </w:r>
      <w:r>
        <w:t xml:space="preserve">INV-2023-10-045</w:t>
      </w:r>
    </w:p>
    <w:p>
      <w:pPr>
        <w:pStyle w:val="BodyText"/>
      </w:pPr>
      <w:r>
        <w:rPr>
          <w:bCs/>
          <w:b/>
        </w:rPr>
        <w:t xml:space="preserve">Date Issued:</w:t>
      </w:r>
      <w:r>
        <w:t xml:space="preserve"> </w:t>
      </w:r>
      <w:r>
        <w:t xml:space="preserve">24 October 2023</w:t>
      </w:r>
    </w:p>
    <w:p>
      <w:pPr>
        <w:pStyle w:val="BodyText"/>
      </w:pPr>
      <w:r>
        <w:rPr>
          <w:bCs/>
          <w:b/>
        </w:rPr>
        <w:t xml:space="preserve">Due Date:</w:t>
      </w:r>
      <w:r>
        <w:t xml:space="preserve"> </w:t>
      </w:r>
      <w:r>
        <w:t xml:space="preserve">24 November 2023</w:t>
      </w:r>
    </w:p>
    <w:p>
      <w:pPr>
        <w:pStyle w:val="BodyText"/>
      </w:pPr>
      <w:r>
        <w:rPr>
          <w:bCs/>
          <w:b/>
        </w:rPr>
        <w:t xml:space="preserve">Payment Terms:</w:t>
      </w:r>
      <w:r>
        <w:t xml:space="preserve"> </w:t>
      </w:r>
      <w:r>
        <w:t xml:space="preserve">Net 30 Days</w:t>
      </w:r>
    </w:p>
    <w:bookmarkEnd w:id="21"/>
    <w:bookmarkStart w:id="22" w:name="bill-to"/>
    <w:p>
      <w:pPr>
        <w:pStyle w:val="Heading3"/>
      </w:pPr>
      <w:r>
        <w:t xml:space="preserve">Bill To:</w:t>
      </w:r>
    </w:p>
    <w:p>
      <w:pPr>
        <w:pStyle w:val="FirstParagraph"/>
      </w:pPr>
      <w:r>
        <w:rPr>
          <w:bCs/>
          <w:b/>
        </w:rPr>
        <w:t xml:space="preserve">Apex Petrochemicals UK Ltd.</w:t>
      </w:r>
    </w:p>
    <w:p>
      <w:pPr>
        <w:pStyle w:val="BodyText"/>
      </w:pPr>
      <w:r>
        <w:t xml:space="preserve">Attn: Procurement Department</w:t>
      </w:r>
    </w:p>
    <w:p>
      <w:pPr>
        <w:pStyle w:val="BodyText"/>
      </w:pPr>
      <w:r>
        <w:t xml:space="preserve">15 Trafford Park Road</w:t>
      </w:r>
    </w:p>
    <w:p>
      <w:pPr>
        <w:pStyle w:val="BodyText"/>
      </w:pPr>
      <w:r>
        <w:t xml:space="preserve">Manchester, M17 1WA</w:t>
      </w:r>
    </w:p>
    <w:p>
      <w:pPr>
        <w:pStyle w:val="BodyText"/>
      </w:pPr>
      <w:r>
        <w:t xml:space="preserve">United Kingdom</w:t>
      </w:r>
    </w:p>
    <w:bookmarkEnd w:id="22"/>
    <w:tbl>
      <w:tblPr>
        <w:tblStyle w:val="Table"/>
        <w:tblW w:type="pct" w:w="500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Services</w:t>
            </w:r>
          </w:p>
        </w:tc>
        <w:tc>
          <w:tcPr/>
          <w:p>
            <w:pPr>
              <w:pStyle w:val="Compact"/>
              <w:jc w:val="left"/>
            </w:pPr>
            <w:r>
              <w:t xml:space="preserve">Hours / Qty</w:t>
            </w:r>
          </w:p>
        </w:tc>
        <w:tc>
          <w:tcPr/>
          <w:p>
            <w:pPr>
              <w:pStyle w:val="Compact"/>
              <w:jc w:val="left"/>
            </w:pPr>
            <w:r>
              <w:t xml:space="preserve">Rate (£)</w:t>
            </w:r>
          </w:p>
        </w:tc>
        <w:tc>
          <w:tcPr/>
          <w:p>
            <w:pPr>
              <w:pStyle w:val="Compact"/>
              <w:jc w:val="left"/>
            </w:pPr>
            <w:r>
              <w:t xml:space="preserve">Amount (£)</w:t>
            </w:r>
          </w:p>
        </w:tc>
      </w:tr>
      <w:tr>
        <w:tc>
          <w:tcPr/>
          <w:p>
            <w:pPr>
              <w:pStyle w:val="Compact"/>
              <w:jc w:val="left"/>
            </w:pPr>
            <w:r>
              <w:t xml:space="preserve">1</w:t>
            </w:r>
          </w:p>
        </w:tc>
        <w:tc>
          <w:tcPr/>
          <w:p>
            <w:pPr>
              <w:pStyle w:val="Compact"/>
              <w:jc w:val="left"/>
            </w:pPr>
            <w:r>
              <w:rPr>
                <w:bCs/>
                <w:b/>
              </w:rPr>
              <w:t xml:space="preserve">Process Optimization Analysis</w:t>
            </w:r>
            <w:r>
              <w:br/>
            </w:r>
            <w:r>
              <w:t xml:space="preserve">Comprehensive audit of existing distillation columns at the Manchester facility. This service includes thermodynamic modeling, energy balance calculations, and efficiency recommendations to reduce steam consumption by an estimated 12%.</w:t>
            </w:r>
          </w:p>
        </w:tc>
        <w:tc>
          <w:tcPr/>
          <w:p>
            <w:pPr>
              <w:pStyle w:val="Compact"/>
              <w:jc w:val="left"/>
            </w:pPr>
            <w:r>
              <w:t xml:space="preserve">40.0</w:t>
            </w:r>
          </w:p>
        </w:tc>
        <w:tc>
          <w:tcPr/>
          <w:p>
            <w:pPr>
              <w:pStyle w:val="Compact"/>
              <w:jc w:val="left"/>
            </w:pPr>
            <w:r>
              <w:t xml:space="preserve">125.00</w:t>
            </w:r>
          </w:p>
        </w:tc>
        <w:tc>
          <w:tcPr/>
          <w:p>
            <w:pPr>
              <w:pStyle w:val="Compact"/>
              <w:jc w:val="left"/>
            </w:pPr>
            <w:r>
              <w:t xml:space="preserve">5,000.00</w:t>
            </w:r>
          </w:p>
        </w:tc>
      </w:tr>
      <w:tr>
        <w:tc>
          <w:tcPr/>
          <w:p>
            <w:pPr>
              <w:pStyle w:val="Compact"/>
              <w:jc w:val="left"/>
            </w:pPr>
            <w:r>
              <w:t xml:space="preserve">2</w:t>
            </w:r>
          </w:p>
        </w:tc>
        <w:tc>
          <w:tcPr/>
          <w:p>
            <w:pPr>
              <w:pStyle w:val="Compact"/>
              <w:jc w:val="left"/>
            </w:pPr>
            <w:r>
              <w:rPr>
                <w:bCs/>
                <w:b/>
              </w:rPr>
              <w:t xml:space="preserve">Chemical Engineer Site Consultation</w:t>
            </w:r>
            <w:r>
              <w:br/>
            </w:r>
            <w:r>
              <w:t xml:space="preserve">On-site assessment of reactor safety protocols and material compatibility. The Chemical Engineer provided detailed feedback on corrosion mitigation strategies for high-acid environments, ensuring compliance with UK Health and Safety Executive (HSE) standards.</w:t>
            </w:r>
          </w:p>
        </w:tc>
        <w:tc>
          <w:tcPr/>
          <w:p>
            <w:pPr>
              <w:pStyle w:val="Compact"/>
              <w:jc w:val="left"/>
            </w:pPr>
            <w:r>
              <w:t xml:space="preserve">16.0</w:t>
            </w:r>
          </w:p>
        </w:tc>
        <w:tc>
          <w:tcPr/>
          <w:p>
            <w:pPr>
              <w:pStyle w:val="Compact"/>
              <w:jc w:val="left"/>
            </w:pPr>
            <w:r>
              <w:t xml:space="preserve">125.00</w:t>
            </w:r>
          </w:p>
        </w:tc>
        <w:tc>
          <w:tcPr/>
          <w:p>
            <w:pPr>
              <w:pStyle w:val="Compact"/>
              <w:jc w:val="left"/>
            </w:pPr>
            <w:r>
              <w:t xml:space="preserve">2,000.00</w:t>
            </w:r>
          </w:p>
        </w:tc>
      </w:tr>
      <w:tr>
        <w:tc>
          <w:tcPr/>
          <w:p>
            <w:pPr>
              <w:pStyle w:val="Compact"/>
              <w:jc w:val="left"/>
            </w:pPr>
            <w:r>
              <w:t xml:space="preserve">3</w:t>
            </w:r>
          </w:p>
        </w:tc>
        <w:tc>
          <w:tcPr/>
          <w:p>
            <w:pPr>
              <w:pStyle w:val="Compact"/>
              <w:jc w:val="left"/>
            </w:pPr>
            <w:r>
              <w:rPr>
                <w:bCs/>
                <w:b/>
              </w:rPr>
              <w:t xml:space="preserve">P&amp;ID Review and Update</w:t>
            </w:r>
            <w:r>
              <w:br/>
            </w:r>
            <w:r>
              <w:t xml:space="preserve">Review and revision of Piping and Instrumentation Diagrams (P&amp;IDs) for the new solvent recovery unit. This ensures accurate representation of control loops and safety interlocks within the United Kingdom Manchester industrial framework.</w:t>
            </w:r>
          </w:p>
        </w:tc>
        <w:tc>
          <w:tcPr/>
          <w:p>
            <w:pPr>
              <w:pStyle w:val="Compact"/>
              <w:jc w:val="left"/>
            </w:pPr>
            <w:r>
              <w:t xml:space="preserve">24.0</w:t>
            </w:r>
          </w:p>
        </w:tc>
        <w:tc>
          <w:tcPr/>
          <w:p>
            <w:pPr>
              <w:pStyle w:val="Compact"/>
              <w:jc w:val="left"/>
            </w:pPr>
            <w:r>
              <w:t xml:space="preserve">125.00</w:t>
            </w:r>
          </w:p>
        </w:tc>
        <w:tc>
          <w:tcPr/>
          <w:p>
            <w:pPr>
              <w:pStyle w:val="Compact"/>
              <w:jc w:val="left"/>
            </w:pPr>
            <w:r>
              <w:t xml:space="preserve">3,000.00</w:t>
            </w:r>
          </w:p>
        </w:tc>
      </w:tr>
      <w:tr>
        <w:tc>
          <w:tcPr/>
          <w:p>
            <w:pPr>
              <w:pStyle w:val="Compact"/>
              <w:jc w:val="left"/>
            </w:pPr>
            <w:r>
              <w:t xml:space="preserve">4</w:t>
            </w:r>
          </w:p>
        </w:tc>
        <w:tc>
          <w:tcPr/>
          <w:p>
            <w:pPr>
              <w:pStyle w:val="Compact"/>
              <w:jc w:val="left"/>
            </w:pPr>
            <w:r>
              <w:rPr>
                <w:bCs/>
                <w:b/>
              </w:rPr>
              <w:t xml:space="preserve">Waste Stream Management Strategy</w:t>
            </w:r>
            <w:r>
              <w:br/>
            </w:r>
            <w:r>
              <w:t xml:space="preserve">Development of a chemical treatment plan for liquid effluent. The Chemical Engineer designed a neutralization process to meet Environment Agency discharge limits specific to the Manchester region.</w:t>
            </w:r>
          </w:p>
        </w:tc>
        <w:tc>
          <w:tcPr/>
          <w:p>
            <w:pPr>
              <w:pStyle w:val="Compact"/>
              <w:jc w:val="left"/>
            </w:pPr>
            <w:r>
              <w:t xml:space="preserve">1</w:t>
            </w:r>
          </w:p>
        </w:tc>
        <w:tc>
          <w:tcPr/>
          <w:p>
            <w:pPr>
              <w:pStyle w:val="Compact"/>
              <w:jc w:val="left"/>
            </w:pPr>
            <w:r>
              <w:t xml:space="preserve">2,500.00</w:t>
            </w:r>
          </w:p>
        </w:tc>
        <w:tc>
          <w:tcPr/>
          <w:p>
            <w:pPr>
              <w:pStyle w:val="Compact"/>
              <w:jc w:val="left"/>
            </w:pPr>
            <w:r>
              <w:t xml:space="preserve">2,500.00</w:t>
            </w:r>
          </w:p>
        </w:tc>
      </w:tr>
      <w:tr>
        <w:tc>
          <w:tcPr/>
          <w:p>
            <w:pPr>
              <w:pStyle w:val="Compact"/>
              <w:jc w:val="left"/>
            </w:pPr>
            <w:r>
              <w:t xml:space="preserve">5</w:t>
            </w:r>
          </w:p>
        </w:tc>
        <w:tc>
          <w:tcPr/>
          <w:p>
            <w:pPr>
              <w:pStyle w:val="Compact"/>
              <w:jc w:val="left"/>
            </w:pPr>
            <w:r>
              <w:rPr>
                <w:bCs/>
                <w:b/>
              </w:rPr>
              <w:t xml:space="preserve">Technical Reporting</w:t>
            </w:r>
            <w:r>
              <w:br/>
            </w:r>
            <w:r>
              <w:t xml:space="preserve">Compilation of final engineering report detailing findings, risk assessments, and implementation roadmaps for the proposed process changes.</w:t>
            </w:r>
          </w:p>
        </w:tc>
        <w:tc>
          <w:tcPr/>
          <w:p>
            <w:pPr>
              <w:pStyle w:val="Compact"/>
              <w:jc w:val="left"/>
            </w:pPr>
            <w:r>
              <w:t xml:space="preserve">1</w:t>
            </w:r>
          </w:p>
        </w:tc>
        <w:tc>
          <w:tcPr/>
          <w:p>
            <w:pPr>
              <w:pStyle w:val="Compact"/>
              <w:jc w:val="left"/>
            </w:pPr>
            <w:r>
              <w:t xml:space="preserve">1,500.00</w:t>
            </w:r>
          </w:p>
        </w:tc>
        <w:tc>
          <w:tcPr/>
          <w:p>
            <w:pPr>
              <w:pStyle w:val="Compact"/>
              <w:jc w:val="left"/>
            </w:pPr>
            <w:r>
              <w:t xml:space="preserve">1,500.00</w:t>
            </w:r>
          </w:p>
        </w:tc>
      </w:tr>
    </w:tbl>
    <w:p>
      <w:pPr>
        <w:pStyle w:val="BodyText"/>
      </w:pPr>
      <w:r>
        <w:t xml:space="preserve">Subtotal:</w:t>
      </w:r>
      <w:r>
        <w:t xml:space="preserve"> </w:t>
      </w:r>
      <w:r>
        <w:t xml:space="preserve">£14,000.00</w:t>
      </w:r>
    </w:p>
    <w:p>
      <w:pPr>
        <w:pStyle w:val="BodyText"/>
      </w:pPr>
      <w:r>
        <w:t xml:space="preserve">VAT (20%):</w:t>
      </w:r>
      <w:r>
        <w:t xml:space="preserve"> </w:t>
      </w:r>
      <w:r>
        <w:t xml:space="preserve">£2,800.00</w:t>
      </w:r>
    </w:p>
    <w:p>
      <w:pPr>
        <w:pStyle w:val="BodyText"/>
      </w:pPr>
      <w:r>
        <w:t xml:space="preserve">Total Due:</w:t>
      </w:r>
      <w:r>
        <w:t xml:space="preserve"> </w:t>
      </w:r>
      <w:r>
        <w:t xml:space="preserve">£16,800.00</w:t>
      </w:r>
    </w:p>
    <w:bookmarkStart w:id="23" w:name="payment-instructions"/>
    <w:p>
      <w:pPr>
        <w:pStyle w:val="Heading4"/>
      </w:pPr>
      <w:r>
        <w:t xml:space="preserve">Payment Instructions</w:t>
      </w:r>
    </w:p>
    <w:p>
      <w:pPr>
        <w:pStyle w:val="FirstParagraph"/>
      </w:pPr>
      <w:r>
        <w:t xml:space="preserve">Please make payment via Bank Transfer to the following account:</w:t>
      </w:r>
    </w:p>
    <w:p>
      <w:pPr>
        <w:pStyle w:val="BodyText"/>
      </w:pPr>
      <w:r>
        <w:rPr>
          <w:bCs/>
          <w:b/>
        </w:rPr>
        <w:t xml:space="preserve">Bank Name:</w:t>
      </w:r>
      <w:r>
        <w:t xml:space="preserve"> </w:t>
      </w:r>
      <w:r>
        <w:t xml:space="preserve">HSBC UK Bank plc</w:t>
      </w:r>
    </w:p>
    <w:p>
      <w:pPr>
        <w:pStyle w:val="BodyText"/>
      </w:pPr>
      <w:r>
        <w:rPr>
          <w:bCs/>
          <w:b/>
        </w:rPr>
        <w:t xml:space="preserve">Account Name:</w:t>
      </w:r>
      <w:r>
        <w:t xml:space="preserve"> </w:t>
      </w:r>
      <w:r>
        <w:t xml:space="preserve">Manchester Process Solutions Ltd.</w:t>
      </w:r>
    </w:p>
    <w:p>
      <w:pPr>
        <w:pStyle w:val="BodyText"/>
      </w:pPr>
      <w:r>
        <w:rPr>
          <w:bCs/>
          <w:b/>
        </w:rPr>
        <w:t xml:space="preserve">Sort Code:</w:t>
      </w:r>
      <w:r>
        <w:t xml:space="preserve"> </w:t>
      </w:r>
      <w:r>
        <w:t xml:space="preserve">40-02-50</w:t>
      </w:r>
    </w:p>
    <w:p>
      <w:pPr>
        <w:pStyle w:val="BodyText"/>
      </w:pPr>
      <w:r>
        <w:rPr>
          <w:bCs/>
          <w:b/>
        </w:rPr>
        <w:t xml:space="preserve">Account Number:</w:t>
      </w:r>
      <w:r>
        <w:t xml:space="preserve"> </w:t>
      </w:r>
      <w:r>
        <w:t xml:space="preserve">12345678</w:t>
      </w:r>
    </w:p>
    <w:p>
      <w:pPr>
        <w:pStyle w:val="BodyText"/>
      </w:pPr>
      <w:r>
        <w:rPr>
          <w:bCs/>
          <w:b/>
        </w:rPr>
        <w:t xml:space="preserve">IBAN:</w:t>
      </w:r>
      <w:r>
        <w:t xml:space="preserve"> </w:t>
      </w:r>
      <w:r>
        <w:t xml:space="preserve">GB29 HBUK 4002 5012 3456 78</w:t>
      </w:r>
    </w:p>
    <w:p>
      <w:pPr>
        <w:pStyle w:val="BodyText"/>
      </w:pPr>
      <w:r>
        <w:rPr>
          <w:bCs/>
          <w:b/>
        </w:rPr>
        <w:t xml:space="preserve">Reference:</w:t>
      </w:r>
      <w:r>
        <w:t xml:space="preserve"> </w:t>
      </w:r>
      <w:r>
        <w:t xml:space="preserve">INV-2023-10-045</w:t>
      </w:r>
    </w:p>
    <w:bookmarkEnd w:id="23"/>
    <w:bookmarkStart w:id="24" w:name="terms-and-conditions"/>
    <w:p>
      <w:pPr>
        <w:pStyle w:val="Heading4"/>
      </w:pPr>
      <w:r>
        <w:t xml:space="preserve">Terms and Conditions</w:t>
      </w:r>
    </w:p>
    <w:p>
      <w:pPr>
        <w:pStyle w:val="FirstParagraph"/>
      </w:pPr>
      <w:r>
        <w:t xml:space="preserve">1.</w:t>
      </w:r>
      <w:r>
        <w:t xml:space="preserve"> </w:t>
      </w:r>
      <w:r>
        <w:rPr>
          <w:bCs/>
          <w:b/>
        </w:rPr>
        <w:t xml:space="preserve">Payment Terms:</w:t>
      </w:r>
      <w:r>
        <w:t xml:space="preserve"> </w:t>
      </w:r>
      <w:r>
        <w:t xml:space="preserve">Payment is due within 30 days of the invoice date. Late payments may incur interest charges at a rate of 4% above the Bank of England base rate.</w:t>
      </w:r>
    </w:p>
    <w:p>
      <w:pPr>
        <w:pStyle w:val="BodyText"/>
      </w:pPr>
      <w:r>
        <w:t xml:space="preserve">2.</w:t>
      </w:r>
      <w:r>
        <w:t xml:space="preserve"> </w:t>
      </w:r>
      <w:r>
        <w:rPr>
          <w:bCs/>
          <w:b/>
        </w:rPr>
        <w:t xml:space="preserve">Scope of Work:</w:t>
      </w:r>
      <w:r>
        <w:t xml:space="preserve"> </w:t>
      </w:r>
      <w:r>
        <w:t xml:space="preserve">This Invoice covers the specific Chemical Engineering services rendered between 01 October 2023 and 20 October 2023. Any additional work requested outside this scope will be billed separately.</w:t>
      </w:r>
    </w:p>
    <w:p>
      <w:pPr>
        <w:pStyle w:val="BodyText"/>
      </w:pPr>
      <w:r>
        <w:t xml:space="preserve">3.</w:t>
      </w:r>
      <w:r>
        <w:t xml:space="preserve"> </w:t>
      </w:r>
      <w:r>
        <w:rPr>
          <w:bCs/>
          <w:b/>
        </w:rPr>
        <w:t xml:space="preserve">Professional Liability:</w:t>
      </w:r>
      <w:r>
        <w:t xml:space="preserve"> </w:t>
      </w:r>
      <w:r>
        <w:t xml:space="preserve">The services provided by our Chemical Engineer are based on industry best practices and current data available at the time of service. While we strive for accuracy, we are not liable for indirect or consequential damages arising from the use of our recommendations.</w:t>
      </w:r>
    </w:p>
    <w:p>
      <w:pPr>
        <w:pStyle w:val="BodyText"/>
      </w:pPr>
      <w:r>
        <w:t xml:space="preserve">4.</w:t>
      </w:r>
      <w:r>
        <w:t xml:space="preserve"> </w:t>
      </w:r>
      <w:r>
        <w:rPr>
          <w:bCs/>
          <w:b/>
        </w:rPr>
        <w:t xml:space="preserve">Regulatory Compliance:</w:t>
      </w:r>
      <w:r>
        <w:t xml:space="preserve"> </w:t>
      </w:r>
      <w:r>
        <w:t xml:space="preserve">All engineering solutions provided are designed to comply with relevant United Kingdom regulations, including the Pressure Systems Safety Regulations (PSSR) and COSHH regulations applicable in Manchester and the wider UK.</w:t>
      </w:r>
    </w:p>
    <w:p>
      <w:pPr>
        <w:pStyle w:val="BodyText"/>
      </w:pPr>
      <w:r>
        <w:t xml:space="preserve">5.</w:t>
      </w:r>
      <w:r>
        <w:t xml:space="preserve"> </w:t>
      </w:r>
      <w:r>
        <w:rPr>
          <w:bCs/>
          <w:b/>
        </w:rPr>
        <w:t xml:space="preserve">Disputes:</w:t>
      </w:r>
      <w:r>
        <w:t xml:space="preserve"> </w:t>
      </w:r>
      <w:r>
        <w:t xml:space="preserve">Any disputes regarding this Invoice must be raised in writing within 14 days of receipt. Failure to do so will be considered acceptance of the charges.</w:t>
      </w:r>
    </w:p>
    <w:p>
      <w:pPr>
        <w:pStyle w:val="BodyText"/>
      </w:pPr>
      <w:r>
        <w:t xml:space="preserve">6.</w:t>
      </w:r>
      <w:r>
        <w:t xml:space="preserve"> </w:t>
      </w:r>
      <w:r>
        <w:rPr>
          <w:bCs/>
          <w:b/>
        </w:rPr>
        <w:t xml:space="preserve">Governing Law:</w:t>
      </w:r>
      <w:r>
        <w:t xml:space="preserve"> </w:t>
      </w:r>
      <w:r>
        <w:t xml:space="preserve">This Invoice and the services described herein are governed by the laws of England and Wales.</w:t>
      </w:r>
    </w:p>
    <w:bookmarkEnd w:id="24"/>
    <w:p>
      <w:pPr>
        <w:pStyle w:val="BodyText"/>
      </w:pPr>
      <w:r>
        <w:rPr>
          <w:bCs/>
          <w:b/>
        </w:rPr>
        <w:t xml:space="preserve">Authorized By:</w:t>
      </w:r>
    </w:p>
    <w:p>
      <w:pPr>
        <w:pStyle w:val="BodyText"/>
      </w:pPr>
      <w:r>
        <w:t xml:space="preserve">Dr. Sarah Jenkins</w:t>
      </w:r>
    </w:p>
    <w:p>
      <w:pPr>
        <w:pStyle w:val="BodyText"/>
      </w:pPr>
      <w:r>
        <w:t xml:space="preserve">Senior Chemical Engineer</w:t>
      </w:r>
    </w:p>
    <w:p>
      <w:pPr>
        <w:pStyle w:val="BodyText"/>
      </w:pPr>
      <w:r>
        <w:t xml:space="preserve">Manchester Process Solutions Ltd.</w:t>
      </w:r>
    </w:p>
    <w:p>
      <w:pPr>
        <w:pStyle w:val="BodyText"/>
      </w:pPr>
      <w:r>
        <w:rPr>
          <w:bCs/>
          <w:b/>
        </w:rPr>
        <w:t xml:space="preserve">Received By:</w:t>
      </w:r>
    </w:p>
    <w:p>
      <w:pPr>
        <w:pStyle w:val="BodyText"/>
      </w:pPr>
      <w:r>
        <w:t xml:space="preserve">__________________________</w:t>
      </w:r>
    </w:p>
    <w:p>
      <w:pPr>
        <w:pStyle w:val="BodyText"/>
      </w:pPr>
      <w:r>
        <w:t xml:space="preserve">Date: ____________________</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Invoice - Chemical Engineering Services</dc:title>
  <dc:creator/>
  <dc:language>en</dc:language>
  <cp:keywords/>
  <dcterms:created xsi:type="dcterms:W3CDTF">2026-10-10T09:04:16Z</dcterms:created>
  <dcterms:modified xsi:type="dcterms:W3CDTF">2026-10-10T09:04:16Z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