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p>
    <w:bookmarkStart w:id="20" w:name="apex-chemical-solutions-ltd."/>
    <w:p>
      <w:pPr>
        <w:pStyle w:val="Heading1"/>
      </w:pPr>
      <w:r>
        <w:t xml:space="preserve">Apex Chemical Solutions Ltd.</w:t>
      </w:r>
    </w:p>
    <w:p>
      <w:pPr>
        <w:pStyle w:val="FirstParagraph"/>
      </w:pPr>
      <w:r>
        <w:rPr>
          <w:bCs/>
          <w:b/>
        </w:rPr>
        <w:t xml:space="preserve">Specialized Chemical Engineering Consultancy</w:t>
      </w:r>
    </w:p>
    <w:p>
      <w:pPr>
        <w:pStyle w:val="BodyText"/>
      </w:pPr>
      <w:r>
        <w:t xml:space="preserve">123 Nguyen Hue Boulevard, District 1</w:t>
      </w:r>
    </w:p>
    <w:p>
      <w:pPr>
        <w:pStyle w:val="BodyText"/>
      </w:pPr>
      <w:r>
        <w:t xml:space="preserve">Vietnam Ho Chi Minh City, 70000</w:t>
      </w:r>
    </w:p>
    <w:p>
      <w:pPr>
        <w:pStyle w:val="BodyText"/>
      </w:pPr>
      <w:r>
        <w:t xml:space="preserve">Tax Code (MST): 0312345678</w:t>
      </w:r>
    </w:p>
    <w:p>
      <w:pPr>
        <w:pStyle w:val="BodyText"/>
      </w:pPr>
      <w:r>
        <w:t xml:space="preserve">Email: billing@apexchemical.vn | Phone: +84 28 1234 5678</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24, 2023</w:t>
      </w:r>
    </w:p>
    <w:bookmarkEnd w:id="21"/>
    <w:bookmarkStart w:id="22" w:name="bill-to"/>
    <w:p>
      <w:pPr>
        <w:pStyle w:val="Heading3"/>
      </w:pPr>
      <w:r>
        <w:t xml:space="preserve">Bill To:</w:t>
      </w:r>
    </w:p>
    <w:p>
      <w:pPr>
        <w:pStyle w:val="FirstParagraph"/>
      </w:pPr>
      <w:r>
        <w:rPr>
          <w:bCs/>
          <w:b/>
        </w:rPr>
        <w:t xml:space="preserve">Saigon Petrochemical Industries JSC</w:t>
      </w:r>
    </w:p>
    <w:p>
      <w:pPr>
        <w:pStyle w:val="BodyText"/>
      </w:pPr>
      <w:r>
        <w:t xml:space="preserve">Attn: Procurement Department</w:t>
      </w:r>
    </w:p>
    <w:p>
      <w:pPr>
        <w:pStyle w:val="BodyText"/>
      </w:pPr>
      <w:r>
        <w:t xml:space="preserve">Zone B, Tan Thuan East Industrial Park</w:t>
      </w:r>
    </w:p>
    <w:p>
      <w:pPr>
        <w:pStyle w:val="BodyText"/>
      </w:pPr>
      <w:r>
        <w:t xml:space="preserve">Phu Nhuan District, Vietnam Ho Chi Minh City</w:t>
      </w:r>
    </w:p>
    <w:p>
      <w:pPr>
        <w:pStyle w:val="BodyText"/>
      </w:pPr>
      <w:r>
        <w:t xml:space="preserve">Tax Code (MST): 0398765432</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Chemical Engineering Services</w:t>
            </w:r>
          </w:p>
        </w:tc>
        <w:tc>
          <w:tcPr/>
          <w:p>
            <w:pPr>
              <w:pStyle w:val="Compact"/>
              <w:jc w:val="left"/>
            </w:pPr>
            <w:r>
              <w:t xml:space="preserve">Quantity / Hours</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1</w:t>
            </w:r>
          </w:p>
        </w:tc>
        <w:tc>
          <w:tcPr/>
          <w:p>
            <w:pPr>
              <w:pStyle w:val="Compact"/>
              <w:jc w:val="left"/>
            </w:pPr>
            <w:r>
              <w:rPr>
                <w:bCs/>
                <w:b/>
              </w:rPr>
              <w:t xml:space="preserve">Process Optimization Analysis</w:t>
            </w:r>
            <w:r>
              <w:br/>
            </w:r>
            <w:r>
              <w:t xml:space="preserve">Comprehensive audit of the distillation column efficiency at the Tan Thuan facility. This service includes thermodynamic modeling, energy balance calculations, and recommendations for reducing steam consumption. Conducted by a Senior Chemical Engineer specializing in separation processes.</w:t>
            </w:r>
          </w:p>
        </w:tc>
        <w:tc>
          <w:tcPr/>
          <w:p>
            <w:pPr>
              <w:pStyle w:val="Compact"/>
              <w:jc w:val="left"/>
            </w:pPr>
            <w:r>
              <w:t xml:space="preserve">1 Project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rPr>
                <w:bCs/>
                <w:b/>
              </w:rPr>
              <w:t xml:space="preserve">HSE Compliance &amp; Hazardous Material Assessment</w:t>
            </w:r>
            <w:r>
              <w:br/>
            </w:r>
            <w:r>
              <w:t xml:space="preserve">Evaluation of chemical storage protocols in accordance with Vietnam's Ministry of Industry and Trade regulations. Includes risk assessment for volatile organic compounds (VOCs) and drafting of updated Standard Operating Procedures (SOPs) for the engineering team.</w:t>
            </w:r>
          </w:p>
        </w:tc>
        <w:tc>
          <w:tcPr/>
          <w:p>
            <w:pPr>
              <w:pStyle w:val="Compact"/>
              <w:jc w:val="left"/>
            </w:pPr>
            <w:r>
              <w:t xml:space="preserve">1 Project</w:t>
            </w:r>
          </w:p>
        </w:tc>
        <w:tc>
          <w:tcPr/>
          <w:p>
            <w:pPr>
              <w:pStyle w:val="Compact"/>
              <w:jc w:val="left"/>
            </w:pPr>
            <w:r>
              <w:t xml:space="preserve">30,000,000</w:t>
            </w:r>
          </w:p>
        </w:tc>
        <w:tc>
          <w:tcPr/>
          <w:p>
            <w:pPr>
              <w:pStyle w:val="Compact"/>
              <w:jc w:val="left"/>
            </w:pPr>
            <w:r>
              <w:t xml:space="preserve">30,000,000</w:t>
            </w:r>
          </w:p>
        </w:tc>
      </w:tr>
      <w:tr>
        <w:tc>
          <w:tcPr/>
          <w:p>
            <w:pPr>
              <w:pStyle w:val="Compact"/>
              <w:jc w:val="left"/>
            </w:pPr>
            <w:r>
              <w:t xml:space="preserve">3</w:t>
            </w:r>
          </w:p>
        </w:tc>
        <w:tc>
          <w:tcPr/>
          <w:p>
            <w:pPr>
              <w:pStyle w:val="Compact"/>
              <w:jc w:val="left"/>
            </w:pPr>
            <w:r>
              <w:rPr>
                <w:bCs/>
                <w:b/>
              </w:rPr>
              <w:t xml:space="preserve">Consulting Hours: Reactor Design Review</w:t>
            </w:r>
            <w:r>
              <w:br/>
            </w:r>
            <w:r>
              <w:t xml:space="preserve">Expert consultation regarding the scale-up of the new polymerization reactor. Includes CFD (Computational Fluid Dynamics) simulation review and thermal runaway prevention strategy.</w:t>
            </w:r>
          </w:p>
        </w:tc>
        <w:tc>
          <w:tcPr/>
          <w:p>
            <w:pPr>
              <w:pStyle w:val="Compact"/>
              <w:jc w:val="left"/>
            </w:pPr>
            <w:r>
              <w:t xml:space="preserve">12 Hours</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4</w:t>
            </w:r>
          </w:p>
        </w:tc>
        <w:tc>
          <w:tcPr/>
          <w:p>
            <w:pPr>
              <w:pStyle w:val="Compact"/>
              <w:jc w:val="left"/>
            </w:pPr>
            <w:r>
              <w:rPr>
                <w:bCs/>
                <w:b/>
              </w:rPr>
              <w:t xml:space="preserve">Technical Reporting &amp; Documentation</w:t>
            </w:r>
            <w:r>
              <w:br/>
            </w:r>
            <w:r>
              <w:t xml:space="preserve">Preparation of detailed engineering reports summarizing findings from the process optimization and safety assessments. Documents are formatted for submission to local authorities in Vietnam Ho Chi Minh City.</w:t>
            </w:r>
          </w:p>
        </w:tc>
        <w:tc>
          <w:tcPr/>
          <w:p>
            <w:pPr>
              <w:pStyle w:val="Compact"/>
              <w:jc w:val="left"/>
            </w:pPr>
            <w:r>
              <w:t xml:space="preserve">1 Lot</w:t>
            </w:r>
          </w:p>
        </w:tc>
        <w:tc>
          <w:tcPr/>
          <w:p>
            <w:pPr>
              <w:pStyle w:val="Compact"/>
              <w:jc w:val="left"/>
            </w:pPr>
            <w:r>
              <w:t xml:space="preserve">15,000,000</w:t>
            </w:r>
          </w:p>
        </w:tc>
        <w:tc>
          <w:tcPr/>
          <w:p>
            <w:pPr>
              <w:pStyle w:val="Compact"/>
              <w:jc w:val="left"/>
            </w:pPr>
            <w:r>
              <w:t xml:space="preserve">15,000,000</w:t>
            </w:r>
          </w:p>
        </w:tc>
      </w:tr>
    </w:tbl>
    <w:p>
      <w:pPr>
        <w:pStyle w:val="BodyText"/>
      </w:pPr>
      <w:r>
        <w:t xml:space="preserve">Subtotal:</w:t>
      </w:r>
      <w:r>
        <w:t xml:space="preserve"> </w:t>
      </w:r>
      <w:r>
        <w:t xml:space="preserve">132,000,000 VND</w:t>
      </w:r>
    </w:p>
    <w:p>
      <w:pPr>
        <w:pStyle w:val="BodyText"/>
      </w:pPr>
      <w:r>
        <w:t xml:space="preserve">VAT (10%):</w:t>
      </w:r>
      <w:r>
        <w:t xml:space="preserve"> </w:t>
      </w:r>
      <w:r>
        <w:t xml:space="preserve">13,200,000 VND</w:t>
      </w:r>
    </w:p>
    <w:p>
      <w:pPr>
        <w:pStyle w:val="BodyText"/>
      </w:pPr>
      <w:r>
        <w:t xml:space="preserve">Total Amount Due:</w:t>
      </w:r>
      <w:r>
        <w:t xml:space="preserve"> </w:t>
      </w:r>
      <w:r>
        <w:t xml:space="preserve">145,200,000 VND</w:t>
      </w:r>
    </w:p>
    <w:bookmarkStart w:id="23" w:name="payment-terms-banking-information"/>
    <w:p>
      <w:pPr>
        <w:pStyle w:val="Heading4"/>
      </w:pPr>
      <w:r>
        <w:t xml:space="preserve">Payment Terms &amp; Banking Information</w:t>
      </w:r>
    </w:p>
    <w:p>
      <w:pPr>
        <w:pStyle w:val="FirstParagraph"/>
      </w:pPr>
      <w:r>
        <w:rPr>
          <w:bCs/>
          <w:b/>
        </w:rPr>
        <w:t xml:space="preserve">Payment Method:</w:t>
      </w:r>
      <w:r>
        <w:t xml:space="preserve"> </w:t>
      </w:r>
      <w:r>
        <w:t xml:space="preserve">Bank Transfer</w:t>
      </w:r>
    </w:p>
    <w:p>
      <w:pPr>
        <w:pStyle w:val="BodyText"/>
      </w:pPr>
      <w:r>
        <w:rPr>
          <w:bCs/>
          <w:b/>
        </w:rPr>
        <w:t xml:space="preserve">Bank Name:</w:t>
      </w:r>
      <w:r>
        <w:t xml:space="preserve"> </w:t>
      </w:r>
      <w:r>
        <w:t xml:space="preserve">Vietcombank - Vietnam Ho Chi Minh City Branch</w:t>
      </w:r>
    </w:p>
    <w:p>
      <w:pPr>
        <w:pStyle w:val="BodyText"/>
      </w:pPr>
      <w:r>
        <w:rPr>
          <w:bCs/>
          <w:b/>
        </w:rPr>
        <w:t xml:space="preserve">Account Name:</w:t>
      </w:r>
      <w:r>
        <w:t xml:space="preserve"> </w:t>
      </w:r>
      <w:r>
        <w:t xml:space="preserve">Apex Chemical Solutions Ltd.</w:t>
      </w:r>
    </w:p>
    <w:p>
      <w:pPr>
        <w:pStyle w:val="BodyText"/>
      </w:pPr>
      <w:r>
        <w:rPr>
          <w:bCs/>
          <w:b/>
        </w:rPr>
        <w:t xml:space="preserve">Account Number:</w:t>
      </w:r>
      <w:r>
        <w:t xml:space="preserve"> </w:t>
      </w:r>
      <w:r>
        <w:t xml:space="preserve">0071001234567</w:t>
      </w:r>
    </w:p>
    <w:p>
      <w:pPr>
        <w:pStyle w:val="BodyText"/>
      </w:pPr>
      <w:r>
        <w:rPr>
          <w:bCs/>
          <w:b/>
        </w:rPr>
        <w:t xml:space="preserve">SWIFT Code:</w:t>
      </w:r>
      <w:r>
        <w:t xml:space="preserve"> </w:t>
      </w:r>
      <w:r>
        <w:t xml:space="preserve">BFTVVNVX</w:t>
      </w:r>
    </w:p>
    <w:p>
      <w:pPr>
        <w:pStyle w:val="BodyText"/>
      </w:pPr>
      <w:r>
        <w:rPr>
          <w:bCs/>
          <w:b/>
        </w:rPr>
        <w:t xml:space="preserve">Reference:</w:t>
      </w:r>
      <w:r>
        <w:t xml:space="preserve"> </w:t>
      </w:r>
      <w:r>
        <w:t xml:space="preserve">Please use Invoice Number INV-2023-10-045 as the payment reference.</w:t>
      </w:r>
    </w:p>
    <w:p>
      <w:pPr>
        <w:pStyle w:val="BodyText"/>
      </w:pPr>
      <w:r>
        <w:br/>
      </w:r>
    </w:p>
    <w:bookmarkEnd w:id="23"/>
    <w:bookmarkStart w:id="24" w:name="X035f601b6fb49743dd0acaec3c3f1536a0f9556"/>
    <w:p>
      <w:pPr>
        <w:pStyle w:val="Heading4"/>
      </w:pPr>
      <w:r>
        <w:t xml:space="preserve">Important Notes for Chemical Engineering Services</w:t>
      </w:r>
    </w:p>
    <w:p>
      <w:pPr>
        <w:pStyle w:val="FirstParagraph"/>
      </w:pPr>
      <w:r>
        <w:t xml:space="preserve">This Invoice represents the professional fees for the chemical engineering consultancy services rendered as described above. All calculations, simulations, and engineering assessments were performed in strict adherence to international engineering standards (ASME, API) and local Vietnamese regulations applicable to industrial operations in Vietnam Ho Chi Minh City.</w:t>
      </w:r>
    </w:p>
    <w:p>
      <w:pPr>
        <w:pStyle w:val="BodyText"/>
      </w:pPr>
      <w:r>
        <w:t xml:space="preserve">The Chemical Engineer assigned to this project guarantees the accuracy of the technical data provided within the scope of the agreed-upon parameters. Any subsequent modifications to the plant design or process flow diagrams requested by the client after the submission of this report may incur additional consulting fees.</w:t>
      </w:r>
    </w:p>
    <w:p>
      <w:pPr>
        <w:pStyle w:val="BodyText"/>
      </w:pPr>
      <w:r>
        <w:t xml:space="preserve">Payment is due within 30 days of the invoice date. Late payments may be subject to a penalty interest rate of 1.5% per month, in accordance with the Civil Code of Vietnam. Please ensure that the VAT amount is included in the transfer to facilitate proper tax reporting for both parties.</w:t>
      </w:r>
    </w:p>
    <w:p>
      <w:pPr>
        <w:pStyle w:val="BodyText"/>
      </w:pPr>
      <w:r>
        <w:t xml:space="preserve">If you have any questions regarding the technical scope of work or the billing details on this Invoice, please contact our finance department or the lead Chemical Engineer directly at the contact information provided in the header. We value our partnership with Saigon Petrochemical Industries and look forward to continuing our collaboration in advancing your chemical processing capabilities.</w:t>
      </w:r>
    </w:p>
    <w:bookmarkEnd w:id="24"/>
    <w:p>
      <w:pPr>
        <w:pStyle w:val="BodyText"/>
      </w:pPr>
      <w:r>
        <w:rPr>
          <w:bCs/>
          <w:b/>
        </w:rPr>
        <w:t xml:space="preserve">Authorized Signature</w:t>
      </w:r>
    </w:p>
    <w:p>
      <w:pPr>
        <w:pStyle w:val="BodyText"/>
      </w:pPr>
      <w:r>
        <w:t xml:space="preserve">Apex Chemical Solutions Ltd.</w:t>
      </w:r>
    </w:p>
    <w:p>
      <w:pPr>
        <w:pStyle w:val="BodyText"/>
      </w:pPr>
      <w:r>
        <w:t xml:space="preserve">Lead Chemical Engineer</w:t>
      </w:r>
    </w:p>
    <w:p>
      <w:pPr>
        <w:pStyle w:val="BodyText"/>
      </w:pPr>
      <w:r>
        <w:rPr>
          <w:bCs/>
          <w:b/>
        </w:rPr>
        <w:t xml:space="preserve">Received By</w:t>
      </w:r>
    </w:p>
    <w:p>
      <w:pPr>
        <w:pStyle w:val="BodyText"/>
      </w:pPr>
      <w:r>
        <w:t xml:space="preserve">Saigon Petrochemical Industries JSC</w:t>
      </w:r>
    </w:p>
    <w:p>
      <w:pPr>
        <w:pStyle w:val="BodyText"/>
      </w:pPr>
      <w:r>
        <w:t xml:space="preserve">Date of Receipt:</w:t>
      </w:r>
    </w:p>
    <w:p>
      <w:pPr>
        <w:pStyle w:val="BodyText"/>
      </w:pPr>
      <w:r>
        <w:t xml:space="preserve">This document is a valid Invoice for accounting and tax purposes in Vietnam.</w:t>
      </w:r>
      <w:r>
        <w:br/>
      </w:r>
      <w:r>
        <w:t xml:space="preserve">Generated by Apex Chemical Solutions Ltd. |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dc:title>
  <dc:creator/>
  <dc:language>en</dc:language>
  <cp:keywords/>
  <dcterms:created xsi:type="dcterms:W3CDTF">2026-10-10T08:55:09Z</dcterms:created>
  <dcterms:modified xsi:type="dcterms:W3CDTF">2026-10-10T08:55:09Z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