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Pharmacy</w:t>
      </w:r>
      <w:r>
        <w:t xml:space="preserve"> </w:t>
      </w:r>
      <w:r>
        <w:t xml:space="preserve">-</w:t>
      </w:r>
      <w:r>
        <w:t xml:space="preserve"> </w:t>
      </w:r>
      <w:r>
        <w:t xml:space="preserve">Córdoba,</w:t>
      </w:r>
      <w:r>
        <w:t xml:space="preserve"> </w:t>
      </w:r>
      <w:r>
        <w:t xml:space="preserve">Argentina</w:t>
      </w:r>
    </w:p>
    <w:bookmarkStart w:id="20" w:name="farmacia-el-químico"/>
    <w:p>
      <w:pPr>
        <w:pStyle w:val="Heading1"/>
      </w:pPr>
      <w:r>
        <w:t xml:space="preserve">Farmacia El Químico</w:t>
      </w:r>
    </w:p>
    <w:p>
      <w:pPr>
        <w:pStyle w:val="FirstParagraph"/>
      </w:pPr>
      <w:r>
        <w:t xml:space="preserve">Chemist &amp; Pharmaceutical Services</w:t>
      </w:r>
    </w:p>
    <w:p>
      <w:pPr>
        <w:pStyle w:val="BodyText"/>
      </w:pPr>
      <w:r>
        <w:t xml:space="preserve">Av. Vélez Sarsfield 1247, Centro</w:t>
      </w:r>
    </w:p>
    <w:p>
      <w:pPr>
        <w:pStyle w:val="BodyText"/>
      </w:pPr>
      <w:r>
        <w:t xml:space="preserve">Córdoba, Argentina CP 5000</w:t>
      </w:r>
    </w:p>
    <w:p>
      <w:pPr>
        <w:pStyle w:val="BodyText"/>
      </w:pPr>
      <w:r>
        <w:t xml:space="preserve">Tel: +54 (351) 422-8890 | Email: ventas@farmaciaelquimico.com.ar</w:t>
      </w:r>
    </w:p>
    <w:p>
      <w:pPr>
        <w:pStyle w:val="BodyText"/>
      </w:pPr>
      <w:r>
        <w:t xml:space="preserve">CUIT: 30-54872319-6 | Inscripción AFIP: 00-00-00000000-0</w:t>
      </w:r>
    </w:p>
    <w:bookmarkEnd w:id="20"/>
    <w:bookmarkStart w:id="21" w:name="invoice"/>
    <w:p>
      <w:pPr>
        <w:pStyle w:val="Heading2"/>
      </w:pPr>
      <w:r>
        <w:t xml:space="preserve">INVOICE</w:t>
      </w:r>
    </w:p>
    <w:p>
      <w:pPr>
        <w:pStyle w:val="FirstParagraph"/>
      </w:pPr>
      <w:r>
        <w:t xml:space="preserve">Factura de Venta</w:t>
      </w:r>
    </w:p>
    <w:p>
      <w:pPr>
        <w:pStyle w:val="BodyText"/>
      </w:pPr>
      <w:r>
        <w:t xml:space="preserve">Nº INV-2025-004872</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Date:</w:t>
            </w:r>
          </w:p>
        </w:tc>
        <w:tc>
          <w:tcPr/>
          <w:p>
            <w:pPr>
              <w:pStyle w:val="Compact"/>
              <w:jc w:val="left"/>
            </w:pPr>
            <w:r>
              <w:t xml:space="preserve">June 15, 2025</w:t>
            </w:r>
          </w:p>
        </w:tc>
        <w:tc>
          <w:tcPr/>
          <w:p>
            <w:pPr>
              <w:pStyle w:val="Compact"/>
              <w:jc w:val="left"/>
            </w:pPr>
            <w:r>
              <w:t xml:space="preserve">Due Date:</w:t>
            </w:r>
          </w:p>
        </w:tc>
        <w:tc>
          <w:tcPr/>
          <w:p>
            <w:pPr>
              <w:pStyle w:val="Compact"/>
              <w:jc w:val="left"/>
            </w:pPr>
            <w:r>
              <w:t xml:space="preserve">July 15, 2025</w:t>
            </w:r>
          </w:p>
        </w:tc>
      </w:tr>
      <w:tr>
        <w:tc>
          <w:tcPr/>
          <w:p>
            <w:pPr>
              <w:pStyle w:val="Compact"/>
              <w:jc w:val="left"/>
            </w:pPr>
            <w:r>
              <w:t xml:space="preserve">Payment Terms:</w:t>
            </w:r>
          </w:p>
        </w:tc>
        <w:tc>
          <w:tcPr/>
          <w:p>
            <w:pPr>
              <w:pStyle w:val="Compact"/>
              <w:jc w:val="left"/>
            </w:pPr>
            <w:r>
              <w:t xml:space="preserve">30 days net</w:t>
            </w:r>
          </w:p>
        </w:tc>
        <w:tc>
          <w:tcPr/>
          <w:p>
            <w:pPr>
              <w:pStyle w:val="Compact"/>
              <w:jc w:val="left"/>
            </w:pPr>
            <w:r>
              <w:t xml:space="preserve">Payment Method:</w:t>
            </w:r>
          </w:p>
        </w:tc>
        <w:tc>
          <w:tcPr/>
          <w:p>
            <w:pPr>
              <w:pStyle w:val="Compact"/>
              <w:jc w:val="left"/>
            </w:pPr>
            <w:r>
              <w:t xml:space="preserve">Bank Transfer / Cheque</w:t>
            </w:r>
          </w:p>
        </w:tc>
      </w:tr>
      <w:tr>
        <w:tc>
          <w:tcPr/>
          <w:p>
            <w:pPr>
              <w:pStyle w:val="Compact"/>
              <w:jc w:val="left"/>
            </w:pPr>
            <w:r>
              <w:t xml:space="preserve">Invoice Type:</w:t>
            </w:r>
          </w:p>
        </w:tc>
        <w:tc>
          <w:tcPr/>
          <w:p>
            <w:pPr>
              <w:pStyle w:val="Compact"/>
              <w:jc w:val="left"/>
            </w:pPr>
            <w:r>
              <w:t xml:space="preserve">Factura A (General Regime)</w:t>
            </w:r>
          </w:p>
        </w:tc>
        <w:tc>
          <w:tcPr/>
          <w:p>
            <w:pPr>
              <w:pStyle w:val="Compact"/>
              <w:jc w:val="left"/>
            </w:pPr>
            <w:r>
              <w:t xml:space="preserve">Currency:</w:t>
            </w:r>
          </w:p>
        </w:tc>
        <w:tc>
          <w:tcPr/>
          <w:p>
            <w:pPr>
              <w:pStyle w:val="Compact"/>
              <w:jc w:val="left"/>
            </w:pPr>
            <w:r>
              <w:t xml:space="preserve">Argentine Peso (ARS)</w:t>
            </w:r>
          </w:p>
        </w:tc>
      </w:tr>
    </w:tbl>
    <w:bookmarkStart w:id="22" w:name="bill-to-cliente"/>
    <w:p>
      <w:pPr>
        <w:pStyle w:val="Heading3"/>
      </w:pPr>
      <w:r>
        <w:t xml:space="preserve">Bill To (Cliente)</w:t>
      </w:r>
    </w:p>
    <w:p>
      <w:pPr>
        <w:pStyle w:val="FirstParagraph"/>
      </w:pPr>
      <w:r>
        <w:rPr>
          <w:bCs/>
          <w:b/>
        </w:rPr>
        <w:t xml:space="preserve">Hospital Universitario de Córdoba</w:t>
      </w:r>
    </w:p>
    <w:p>
      <w:pPr>
        <w:pStyle w:val="BodyText"/>
      </w:pPr>
      <w:r>
        <w:t xml:space="preserve">Av. Colón 1250, Barrio Alta Córdoba</w:t>
      </w:r>
    </w:p>
    <w:p>
      <w:pPr>
        <w:pStyle w:val="BodyText"/>
      </w:pPr>
      <w:r>
        <w:t xml:space="preserve">Córdoba, Argentina CP 5000</w:t>
      </w:r>
    </w:p>
    <w:p>
      <w:pPr>
        <w:pStyle w:val="BodyText"/>
      </w:pPr>
      <w:r>
        <w:t xml:space="preserve">CUIT: 30-70123456-8</w:t>
      </w:r>
    </w:p>
    <w:p>
      <w:pPr>
        <w:pStyle w:val="BodyText"/>
      </w:pPr>
      <w:r>
        <w:t xml:space="preserve">Attn: Lic. María Fernández, Pharmacy Director</w:t>
      </w:r>
    </w:p>
    <w:p>
      <w:pPr>
        <w:pStyle w:val="BodyText"/>
      </w:pPr>
      <w:r>
        <w:t xml:space="preserve">Phone: +54 (351) 480-5500</w:t>
      </w:r>
    </w:p>
    <w:bookmarkEnd w:id="22"/>
    <w:bookmarkStart w:id="23" w:name="ship-to-envío-a"/>
    <w:p>
      <w:pPr>
        <w:pStyle w:val="Heading3"/>
      </w:pPr>
      <w:r>
        <w:t xml:space="preserve">Ship To (Envío a)</w:t>
      </w:r>
    </w:p>
    <w:p>
      <w:pPr>
        <w:pStyle w:val="FirstParagraph"/>
      </w:pPr>
      <w:r>
        <w:rPr>
          <w:bCs/>
          <w:b/>
        </w:rPr>
        <w:t xml:space="preserve">Hospital Universitario de Córdoba</w:t>
      </w:r>
    </w:p>
    <w:p>
      <w:pPr>
        <w:pStyle w:val="BodyText"/>
      </w:pPr>
      <w:r>
        <w:t xml:space="preserve">Deposito de Farmacia, Planta Baja</w:t>
      </w:r>
    </w:p>
    <w:p>
      <w:pPr>
        <w:pStyle w:val="BodyText"/>
      </w:pPr>
      <w:r>
        <w:t xml:space="preserve">Av. Colón 1250, Barrio Alta Córdoba</w:t>
      </w:r>
    </w:p>
    <w:p>
      <w:pPr>
        <w:pStyle w:val="BodyText"/>
      </w:pPr>
      <w:r>
        <w:t xml:space="preserve">Córdoba, Argentina CP 5000</w:t>
      </w:r>
    </w:p>
    <w:p>
      <w:pPr>
        <w:pStyle w:val="BodyText"/>
      </w:pPr>
      <w:r>
        <w:t xml:space="preserve">Receiving: Sr. Carlos Méndez</w:t>
      </w:r>
    </w:p>
    <w:p>
      <w:pPr>
        <w:pStyle w:val="BodyText"/>
      </w:pPr>
      <w:r>
        <w:t xml:space="preserve">Phone: +54 (351) 480-5512</w:t>
      </w:r>
    </w:p>
    <w:bookmarkEnd w:id="23"/>
    <w:p>
      <w:pPr>
        <w:pStyle w:val="BodyText"/>
      </w:pPr>
      <w:r>
        <w:t xml:space="preserve">Invoice Line Items – Chemist Products &amp; Pharmaceutical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001</w:t>
            </w:r>
          </w:p>
        </w:tc>
        <w:tc>
          <w:tcPr/>
          <w:p>
            <w:pPr>
              <w:pStyle w:val="Compact"/>
              <w:jc w:val="left"/>
            </w:pPr>
            <w:r>
              <w:t xml:space="preserve">Amoxicillin 500mg Capsules, 21-count blister pack (Prescription required per ANMAT regulations)</w:t>
            </w:r>
          </w:p>
        </w:tc>
        <w:tc>
          <w:tcPr/>
          <w:p>
            <w:pPr>
              <w:pStyle w:val="Compact"/>
              <w:jc w:val="left"/>
            </w:pPr>
            <w:r>
              <w:t xml:space="preserve">Antibiotic</w:t>
            </w:r>
          </w:p>
        </w:tc>
        <w:tc>
          <w:tcPr/>
          <w:p>
            <w:pPr>
              <w:pStyle w:val="Compact"/>
              <w:jc w:val="left"/>
            </w:pPr>
            <w:r>
              <w:t xml:space="preserve">120</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002</w:t>
            </w:r>
          </w:p>
        </w:tc>
        <w:tc>
          <w:tcPr/>
          <w:p>
            <w:pPr>
              <w:pStyle w:val="Compact"/>
              <w:jc w:val="left"/>
            </w:pPr>
            <w:r>
              <w:t xml:space="preserve">Ibuprofen 400mg Tablets, 30-count bottle – OTC chemist product</w:t>
            </w:r>
          </w:p>
        </w:tc>
        <w:tc>
          <w:tcPr/>
          <w:p>
            <w:pPr>
              <w:pStyle w:val="Compact"/>
              <w:jc w:val="left"/>
            </w:pPr>
            <w:r>
              <w:t xml:space="preserve">Analgesic</w:t>
            </w:r>
          </w:p>
        </w:tc>
        <w:tc>
          <w:tcPr/>
          <w:p>
            <w:pPr>
              <w:pStyle w:val="Compact"/>
              <w:jc w:val="left"/>
            </w:pPr>
            <w:r>
              <w:t xml:space="preserve">200</w:t>
            </w:r>
          </w:p>
        </w:tc>
        <w:tc>
          <w:tcPr/>
          <w:p>
            <w:pPr>
              <w:pStyle w:val="Compact"/>
              <w:jc w:val="left"/>
            </w:pPr>
            <w:r>
              <w:t xml:space="preserve">1,420.00</w:t>
            </w:r>
          </w:p>
        </w:tc>
        <w:tc>
          <w:tcPr/>
          <w:p>
            <w:pPr>
              <w:pStyle w:val="Compact"/>
              <w:jc w:val="left"/>
            </w:pPr>
            <w:r>
              <w:t xml:space="preserve">284,000.00</w:t>
            </w:r>
          </w:p>
        </w:tc>
      </w:tr>
      <w:tr>
        <w:tc>
          <w:tcPr/>
          <w:p>
            <w:pPr>
              <w:pStyle w:val="Compact"/>
              <w:jc w:val="left"/>
            </w:pPr>
            <w:r>
              <w:t xml:space="preserve">003</w:t>
            </w:r>
          </w:p>
        </w:tc>
        <w:tc>
          <w:tcPr/>
          <w:p>
            <w:pPr>
              <w:pStyle w:val="Compact"/>
              <w:jc w:val="left"/>
            </w:pPr>
            <w:r>
              <w:t xml:space="preserve">Insulin Glargine 100 IU/mL, 3mL pre-filled pen (Cold chain maintained per Córdoba health authority standards)</w:t>
            </w:r>
          </w:p>
        </w:tc>
        <w:tc>
          <w:tcPr/>
          <w:p>
            <w:pPr>
              <w:pStyle w:val="Compact"/>
              <w:jc w:val="left"/>
            </w:pPr>
            <w:r>
              <w:t xml:space="preserve">Diabetes</w:t>
            </w:r>
          </w:p>
        </w:tc>
        <w:tc>
          <w:tcPr/>
          <w:p>
            <w:pPr>
              <w:pStyle w:val="Compact"/>
              <w:jc w:val="left"/>
            </w:pPr>
            <w:r>
              <w:t xml:space="preserve">45</w:t>
            </w:r>
          </w:p>
        </w:tc>
        <w:tc>
          <w:tcPr/>
          <w:p>
            <w:pPr>
              <w:pStyle w:val="Compact"/>
              <w:jc w:val="left"/>
            </w:pPr>
            <w:r>
              <w:t xml:space="preserve">18,750.00</w:t>
            </w:r>
          </w:p>
        </w:tc>
        <w:tc>
          <w:tcPr/>
          <w:p>
            <w:pPr>
              <w:pStyle w:val="Compact"/>
              <w:jc w:val="left"/>
            </w:pPr>
            <w:r>
              <w:t xml:space="preserve">843,750.00</w:t>
            </w:r>
          </w:p>
        </w:tc>
      </w:tr>
      <w:tr>
        <w:tc>
          <w:tcPr/>
          <w:p>
            <w:pPr>
              <w:pStyle w:val="Compact"/>
              <w:jc w:val="left"/>
            </w:pPr>
            <w:r>
              <w:t xml:space="preserve">004</w:t>
            </w:r>
          </w:p>
        </w:tc>
        <w:tc>
          <w:tcPr/>
          <w:p>
            <w:pPr>
              <w:pStyle w:val="Compact"/>
              <w:jc w:val="left"/>
            </w:pPr>
            <w:r>
              <w:t xml:space="preserve">Normal Saline Solution 0.9%, 1000mL IV bags – Hospital grade</w:t>
            </w:r>
          </w:p>
        </w:tc>
        <w:tc>
          <w:tcPr/>
          <w:p>
            <w:pPr>
              <w:pStyle w:val="Compact"/>
              <w:jc w:val="left"/>
            </w:pPr>
            <w:r>
              <w:t xml:space="preserve">IV Fluids</w:t>
            </w:r>
          </w:p>
        </w:tc>
        <w:tc>
          <w:tcPr/>
          <w:p>
            <w:pPr>
              <w:pStyle w:val="Compact"/>
              <w:jc w:val="left"/>
            </w:pPr>
            <w:r>
              <w:t xml:space="preserve">300</w:t>
            </w:r>
          </w:p>
        </w:tc>
        <w:tc>
          <w:tcPr/>
          <w:p>
            <w:pPr>
              <w:pStyle w:val="Compact"/>
              <w:jc w:val="left"/>
            </w:pPr>
            <w:r>
              <w:t xml:space="preserve">890.00</w:t>
            </w:r>
          </w:p>
        </w:tc>
        <w:tc>
          <w:tcPr/>
          <w:p>
            <w:pPr>
              <w:pStyle w:val="Compact"/>
              <w:jc w:val="left"/>
            </w:pPr>
            <w:r>
              <w:t xml:space="preserve">267,000.00</w:t>
            </w:r>
          </w:p>
        </w:tc>
      </w:tr>
      <w:tr>
        <w:tc>
          <w:tcPr/>
          <w:p>
            <w:pPr>
              <w:pStyle w:val="Compact"/>
              <w:jc w:val="left"/>
            </w:pPr>
            <w:r>
              <w:t xml:space="preserve">005</w:t>
            </w:r>
          </w:p>
        </w:tc>
        <w:tc>
          <w:tcPr/>
          <w:p>
            <w:pPr>
              <w:pStyle w:val="Compact"/>
              <w:jc w:val="left"/>
            </w:pPr>
            <w:r>
              <w:t xml:space="preserve">Sterile Surgical Gloves, Nitrile, Size M – Box of 100 pairs</w:t>
            </w:r>
          </w:p>
        </w:tc>
        <w:tc>
          <w:tcPr/>
          <w:p>
            <w:pPr>
              <w:pStyle w:val="Compact"/>
              <w:jc w:val="left"/>
            </w:pPr>
            <w:r>
              <w:t xml:space="preserve">Medical Supplies</w:t>
            </w:r>
          </w:p>
        </w:tc>
        <w:tc>
          <w:tcPr/>
          <w:p>
            <w:pPr>
              <w:pStyle w:val="Compact"/>
              <w:jc w:val="left"/>
            </w:pPr>
            <w:r>
              <w:t xml:space="preserve">50</w:t>
            </w:r>
          </w:p>
        </w:tc>
        <w:tc>
          <w:tcPr/>
          <w:p>
            <w:pPr>
              <w:pStyle w:val="Compact"/>
              <w:jc w:val="left"/>
            </w:pPr>
            <w:r>
              <w:t xml:space="preserve">6,200.00</w:t>
            </w:r>
          </w:p>
        </w:tc>
        <w:tc>
          <w:tcPr/>
          <w:p>
            <w:pPr>
              <w:pStyle w:val="Compact"/>
              <w:jc w:val="left"/>
            </w:pPr>
            <w:r>
              <w:t xml:space="preserve">310,000.00</w:t>
            </w:r>
          </w:p>
        </w:tc>
      </w:tr>
      <w:tr>
        <w:tc>
          <w:tcPr/>
          <w:p>
            <w:pPr>
              <w:pStyle w:val="Compact"/>
              <w:jc w:val="left"/>
            </w:pPr>
            <w:r>
              <w:t xml:space="preserve">006</w:t>
            </w:r>
          </w:p>
        </w:tc>
        <w:tc>
          <w:tcPr/>
          <w:p>
            <w:pPr>
              <w:pStyle w:val="Compact"/>
              <w:jc w:val="left"/>
            </w:pPr>
            <w:r>
              <w:t xml:space="preserve">Pharmaceutical Compounding Service – Custom preparation of topical ointment (500g) per physician prescription</w:t>
            </w:r>
          </w:p>
        </w:tc>
        <w:tc>
          <w:tcPr/>
          <w:p>
            <w:pPr>
              <w:pStyle w:val="Compact"/>
              <w:jc w:val="left"/>
            </w:pPr>
            <w:r>
              <w:t xml:space="preserve">Chemist Service</w:t>
            </w:r>
          </w:p>
        </w:tc>
        <w:tc>
          <w:tcPr/>
          <w:p>
            <w:pPr>
              <w:pStyle w:val="Compact"/>
              <w:jc w:val="left"/>
            </w:pPr>
            <w:r>
              <w:t xml:space="preserve">10</w:t>
            </w:r>
          </w:p>
        </w:tc>
        <w:tc>
          <w:tcPr/>
          <w:p>
            <w:pPr>
              <w:pStyle w:val="Compact"/>
              <w:jc w:val="left"/>
            </w:pPr>
            <w:r>
              <w:t xml:space="preserve">4,500.00</w:t>
            </w:r>
          </w:p>
        </w:tc>
        <w:tc>
          <w:tcPr/>
          <w:p>
            <w:pPr>
              <w:pStyle w:val="Compact"/>
              <w:jc w:val="left"/>
            </w:pPr>
            <w:r>
              <w:t xml:space="preserve">45,000.00</w:t>
            </w:r>
          </w:p>
        </w:tc>
      </w:tr>
      <w:tr>
        <w:tc>
          <w:tcPr/>
          <w:p>
            <w:pPr>
              <w:pStyle w:val="Compact"/>
              <w:jc w:val="left"/>
            </w:pPr>
            <w:r>
              <w:t xml:space="preserve">007</w:t>
            </w:r>
          </w:p>
        </w:tc>
        <w:tc>
          <w:tcPr/>
          <w:p>
            <w:pPr>
              <w:pStyle w:val="Compact"/>
              <w:jc w:val="left"/>
            </w:pPr>
            <w:r>
              <w:t xml:space="preserve">Paracetamol 750mg Suppositories, 12-count box – Pediatric formulation</w:t>
            </w:r>
          </w:p>
        </w:tc>
        <w:tc>
          <w:tcPr/>
          <w:p>
            <w:pPr>
              <w:pStyle w:val="Compact"/>
              <w:jc w:val="left"/>
            </w:pPr>
            <w:r>
              <w:t xml:space="preserve">Analgesic</w:t>
            </w:r>
          </w:p>
        </w:tc>
        <w:tc>
          <w:tcPr/>
          <w:p>
            <w:pPr>
              <w:pStyle w:val="Compact"/>
              <w:jc w:val="left"/>
            </w:pPr>
            <w:r>
              <w:t xml:space="preserve">80</w:t>
            </w:r>
          </w:p>
        </w:tc>
        <w:tc>
          <w:tcPr/>
          <w:p>
            <w:pPr>
              <w:pStyle w:val="Compact"/>
              <w:jc w:val="left"/>
            </w:pPr>
            <w:r>
              <w:t xml:space="preserve">1,150.00</w:t>
            </w:r>
          </w:p>
        </w:tc>
        <w:tc>
          <w:tcPr/>
          <w:p>
            <w:pPr>
              <w:pStyle w:val="Compact"/>
              <w:jc w:val="left"/>
            </w:pPr>
            <w:r>
              <w:t xml:space="preserve">92,000.00</w:t>
            </w:r>
          </w:p>
        </w:tc>
      </w:tr>
      <w:tr>
        <w:tc>
          <w:tcPr/>
          <w:p>
            <w:pPr>
              <w:pStyle w:val="Compact"/>
              <w:jc w:val="left"/>
            </w:pPr>
            <w:r>
              <w:t xml:space="preserve">008</w:t>
            </w:r>
          </w:p>
        </w:tc>
        <w:tc>
          <w:tcPr/>
          <w:p>
            <w:pPr>
              <w:pStyle w:val="Compact"/>
              <w:jc w:val="left"/>
            </w:pPr>
            <w:r>
              <w:t xml:space="preserve">Pharmaceutical Consultation &amp; Drug Interaction Review Service (per patient file, 25 files)</w:t>
            </w:r>
          </w:p>
        </w:tc>
        <w:tc>
          <w:tcPr/>
          <w:p>
            <w:pPr>
              <w:pStyle w:val="Compact"/>
              <w:jc w:val="left"/>
            </w:pPr>
            <w:r>
              <w:t xml:space="preserve">Chemist Service</w:t>
            </w:r>
          </w:p>
        </w:tc>
        <w:tc>
          <w:tcPr/>
          <w:p>
            <w:pPr>
              <w:pStyle w:val="Compact"/>
              <w:jc w:val="left"/>
            </w:pPr>
            <w:r>
              <w:t xml:space="preserve">25</w:t>
            </w:r>
          </w:p>
        </w:tc>
        <w:tc>
          <w:tcPr/>
          <w:p>
            <w:pPr>
              <w:pStyle w:val="Compact"/>
              <w:jc w:val="left"/>
            </w:pPr>
            <w:r>
              <w:t xml:space="preserve">3,200.00</w:t>
            </w:r>
          </w:p>
        </w:tc>
        <w:tc>
          <w:tcPr/>
          <w:p>
            <w:pPr>
              <w:pStyle w:val="Compact"/>
              <w:jc w:val="left"/>
            </w:pPr>
            <w:r>
              <w:t xml:space="preserve">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(Subtotal)</w:t>
            </w:r>
          </w:p>
        </w:tc>
        <w:tc>
          <w:tcPr/>
          <w:p>
            <w:pPr>
              <w:pStyle w:val="Compact"/>
              <w:jc w:val="left"/>
            </w:pPr>
            <w:r>
              <w:t xml:space="preserve">2,263,750.00</w:t>
            </w:r>
          </w:p>
        </w:tc>
      </w:tr>
      <w:tr>
        <w:tc>
          <w:tcPr/>
          <w:p>
            <w:pPr>
              <w:pStyle w:val="Compact"/>
              <w:jc w:val="left"/>
            </w:pPr>
            <w:r>
              <w:t xml:space="preserve">Discount – Institutional Agreement (5%)</w:t>
            </w:r>
          </w:p>
        </w:tc>
        <w:tc>
          <w:tcPr/>
          <w:p>
            <w:pPr>
              <w:pStyle w:val="Compact"/>
              <w:jc w:val="left"/>
            </w:pPr>
            <w:r>
              <w:t xml:space="preserve">-113,187.50</w:t>
            </w:r>
          </w:p>
        </w:tc>
      </w:tr>
      <w:tr>
        <w:tc>
          <w:tcPr/>
          <w:p>
            <w:pPr>
              <w:pStyle w:val="Compact"/>
              <w:jc w:val="left"/>
            </w:pPr>
            <w:r>
              <w:t xml:space="preserve">Net Subtotal</w:t>
            </w:r>
          </w:p>
        </w:tc>
        <w:tc>
          <w:tcPr/>
          <w:p>
            <w:pPr>
              <w:pStyle w:val="Compact"/>
              <w:jc w:val="left"/>
            </w:pPr>
            <w:r>
              <w:t xml:space="preserve">2,150,562.50</w:t>
            </w:r>
          </w:p>
        </w:tc>
      </w:tr>
      <w:tr>
        <w:tc>
          <w:tcPr/>
          <w:p>
            <w:pPr>
              <w:pStyle w:val="Compact"/>
              <w:jc w:val="left"/>
            </w:pPr>
            <w:r>
              <w:t xml:space="preserve">IVA 21% (VAT – Argentine Tax Code)</w:t>
            </w:r>
          </w:p>
        </w:tc>
        <w:tc>
          <w:tcPr/>
          <w:p>
            <w:pPr>
              <w:pStyle w:val="Compact"/>
              <w:jc w:val="left"/>
            </w:pPr>
            <w:r>
              <w:t xml:space="preserve">451,618.13</w:t>
            </w:r>
          </w:p>
        </w:tc>
      </w:tr>
      <w:tr>
        <w:tc>
          <w:tcPr/>
          <w:p>
            <w:pPr>
              <w:pStyle w:val="Compact"/>
              <w:jc w:val="left"/>
            </w:pPr>
            <w:r>
              <w:t xml:space="preserve">TOTAL INVOICE (TOTAL)</w:t>
            </w:r>
          </w:p>
        </w:tc>
        <w:tc>
          <w:tcPr/>
          <w:p>
            <w:pPr>
              <w:pStyle w:val="Compact"/>
              <w:jc w:val="left"/>
            </w:pPr>
            <w:r>
              <w:t xml:space="preserve">2,602,180.63</w:t>
            </w:r>
          </w:p>
        </w:tc>
      </w:tr>
    </w:tbl>
    <w:p>
      <w:pPr>
        <w:pStyle w:val="BodyText"/>
      </w:pPr>
      <w:r>
        <w:rPr>
          <w:bCs/>
          <w:b/>
        </w:rPr>
        <w:t xml:space="preserve">Notes regarding this Invoice:</w:t>
      </w:r>
      <w:r>
        <w:br/>
      </w:r>
      <w:r>
        <w:t xml:space="preserve">All pharmaceutical products listed in this invoice have been sourced in compliance with the Argentine National Administration of Medicaments, Food and Technology (ANMAT) regulations. The chemist products dispensed under this invoice are subject to the Provincial Health Ministry of Córdoba's quality control protocols. Cold-chain items (Ref 003) were transported in temperature-controlled packaging certified by the Córdoba Provincial Health Authority. This invoice is issued under the General Regime (Régimen General) of the Argentine Federal Administration of Public Revenue (AFIP). The chemist services rendered (Ref 006 and 008) were performed by licensed pharmacists registered with the Colegio de Farmacéuticos de Córdoba.</w:t>
      </w:r>
    </w:p>
    <w:p>
      <w:pPr>
        <w:pStyle w:val="BodyText"/>
      </w:pPr>
      <w:r>
        <w:t xml:space="preserve">Payment Instructions</w:t>
      </w:r>
    </w:p>
    <w:p>
      <w:pPr>
        <w:pStyle w:val="BodyText"/>
      </w:pPr>
      <w:r>
        <w:t xml:space="preserve">Payment for this invoice must be remitted to the following bank account within 30 calendar days from the invoice date. Late payments will be subject to the interest rate established by the Argentine Central Bank (BCRA) for overdue commercial obligations.</w:t>
      </w:r>
    </w:p>
    <w:p>
      <w:pPr>
        <w:pStyle w:val="BodyText"/>
      </w:pPr>
      <w:r>
        <w:rPr>
          <w:bCs/>
          <w:b/>
        </w:rPr>
        <w:t xml:space="preserve">Bank:</w:t>
      </w:r>
      <w:r>
        <w:t xml:space="preserve"> </w:t>
      </w:r>
      <w:r>
        <w:t xml:space="preserve">Banco de la Nación Argentina</w:t>
      </w:r>
    </w:p>
    <w:p>
      <w:pPr>
        <w:pStyle w:val="BodyText"/>
      </w:pPr>
      <w:r>
        <w:rPr>
          <w:bCs/>
          <w:b/>
        </w:rPr>
        <w:t xml:space="preserve">CBU:</w:t>
      </w:r>
      <w:r>
        <w:t xml:space="preserve"> </w:t>
      </w:r>
      <w:r>
        <w:t xml:space="preserve">0110003100000000000009</w:t>
      </w:r>
    </w:p>
    <w:p>
      <w:pPr>
        <w:pStyle w:val="BodyText"/>
      </w:pPr>
      <w:r>
        <w:rPr>
          <w:bCs/>
          <w:b/>
        </w:rPr>
        <w:t xml:space="preserve">Account Holder:</w:t>
      </w:r>
      <w:r>
        <w:t xml:space="preserve"> </w:t>
      </w:r>
      <w:r>
        <w:t xml:space="preserve">Farmacia El Químico S.R.L.</w:t>
      </w:r>
    </w:p>
    <w:p>
      <w:pPr>
        <w:pStyle w:val="BodyText"/>
      </w:pPr>
      <w:r>
        <w:rPr>
          <w:bCs/>
          <w:b/>
        </w:rPr>
        <w:t xml:space="preserve">Reference:</w:t>
      </w:r>
      <w:r>
        <w:t xml:space="preserve"> </w:t>
      </w:r>
      <w:r>
        <w:t xml:space="preserve">INV-2025-004872</w:t>
      </w:r>
    </w:p>
    <w:bookmarkStart w:id="24" w:name="X0039b03c86efa20b6ec59f265d48b3d38353bfd"/>
    <w:p>
      <w:pPr>
        <w:pStyle w:val="Heading4"/>
      </w:pPr>
      <w:r>
        <w:t xml:space="preserve">Legal &amp; Regulatory Information – Argentina Córdoba</w:t>
      </w:r>
    </w:p>
    <w:p>
      <w:pPr>
        <w:pStyle w:val="FirstParagraph"/>
      </w:pPr>
      <w:r>
        <w:t xml:space="preserve">This invoice is issued in accordance with the Argentine Tax Code (Código Fiscal de la Nación), Decree 622/97, and the specific regulations of the Córdoba Provincial Tax Authority (Agencia de Recaudación de Córdoba – ARC). All chemist products and pharmaceutical services listed herein comply with Law 17,108 (Pharmaceutical Law of Argentina) and the corresponding resolutions of the Colegio de Farmacéuticos de la Provincia de Córdoba. The seller, Farmacia El Químico S.R.L., holds a valid operating license (Habilitación) issued by the Municipalidad de Córdoba, Registration Nº 2019-04521, and is authorized to dispense all categories of pharmaceutical products including controlled substances under ANMAT Resolution 1520/2019. This invoice constitutes a valid tax document for the purposes of input tax credit (crédito fiscal) under the Argentine VAT regime. The buyer acknowledges receipt of the goods and services described herein. Any disputes arising from this invoice shall be resolved under the jurisdiction of the commercial courts of the city of Córdoba, Argentina, in accordance with the Civil and Commercial Code of the Nation (Código Civil y Comercial de la Nación, Law 26,994). This document is valid without the need for additional stamps or signatures per AFIP electronic invoicing regulations (Sistema de Facturación Electrónica – SFE).</w:t>
      </w:r>
    </w:p>
    <w:bookmarkEnd w:id="24"/>
    <w:p>
      <w:pPr>
        <w:pStyle w:val="BodyText"/>
      </w:pPr>
      <w:r>
        <w:rPr>
          <w:bCs/>
          <w:b/>
        </w:rPr>
        <w:t xml:space="preserve">Farmacia El Químico S.R.L.</w:t>
      </w:r>
      <w:r>
        <w:t xml:space="preserve"> </w:t>
      </w:r>
      <w:r>
        <w:t xml:space="preserve">– Chemist &amp; Pharmaceutical Services – Córdoba, Argentina</w:t>
      </w:r>
    </w:p>
    <w:p>
      <w:pPr>
        <w:pStyle w:val="BodyText"/>
      </w:pPr>
      <w:r>
        <w:t xml:space="preserve">Av. Vélez Sarsfield 1247, Centro, Córdoba, Argentina CP 5000 | CUIT: 30-54872319-6</w:t>
      </w:r>
    </w:p>
    <w:p>
      <w:pPr>
        <w:pStyle w:val="BodyText"/>
      </w:pPr>
      <w:r>
        <w:t xml:space="preserve">This invoice was electronically generated and is valid under Argentine electronic document regulations (Ley 25,506).</w:t>
      </w:r>
    </w:p>
    <w:p>
      <w:pPr>
        <w:pStyle w:val="BodyText"/>
      </w:pPr>
      <w:r>
        <w:t xml:space="preserve">Document generated on: June 15, 2025 | Invoice Nº INV-2025-004872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Pharmacy - Córdoba, Argentina</dc:title>
  <dc:creator/>
  <dc:language>en</dc:language>
  <cp:keywords/>
  <dcterms:created xsi:type="dcterms:W3CDTF">2026-10-10T02:34:32Z</dcterms:created>
  <dcterms:modified xsi:type="dcterms:W3CDTF">2026-10-10T02:34:32Z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