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Toronto</w:t>
      </w:r>
      <w:r>
        <w:t xml:space="preserve"> </w:t>
      </w:r>
      <w:r>
        <w:t xml:space="preserve">Chemist</w:t>
      </w:r>
      <w:r>
        <w:t xml:space="preserve"> </w:t>
      </w:r>
      <w:r>
        <w:t xml:space="preserve">&amp;</w:t>
      </w:r>
      <w:r>
        <w:t xml:space="preserve"> </w:t>
      </w:r>
      <w:r>
        <w:t xml:space="preserve">Pharmaceutical</w:t>
      </w:r>
      <w:r>
        <w:t xml:space="preserve"> </w:t>
      </w:r>
      <w:r>
        <w:t xml:space="preserve">Services</w:t>
      </w:r>
    </w:p>
    <w:bookmarkStart w:id="20" w:name="X4cd4ef9478b9226c4862f0670acef292f57c8d1"/>
    <w:p>
      <w:pPr>
        <w:pStyle w:val="Heading1"/>
      </w:pPr>
      <w:r>
        <w:t xml:space="preserve">Toronto Chemist &amp; Pharmaceutical Services Ltd.</w:t>
      </w:r>
    </w:p>
    <w:p>
      <w:pPr>
        <w:pStyle w:val="FirstParagraph"/>
      </w:pPr>
      <w:r>
        <w:t xml:space="preserve">1247 Yonge Street, Suite 302</w:t>
      </w:r>
    </w:p>
    <w:p>
      <w:pPr>
        <w:pStyle w:val="BodyText"/>
      </w:pPr>
      <w:r>
        <w:t xml:space="preserve">Toronto, Ontario M4W 1Y8, Canada</w:t>
      </w:r>
    </w:p>
    <w:p>
      <w:pPr>
        <w:pStyle w:val="BodyText"/>
      </w:pPr>
      <w:r>
        <w:t xml:space="preserve">Phone: (416) 555-0192 | Fax: (416) 555-0193</w:t>
      </w:r>
    </w:p>
    <w:p>
      <w:pPr>
        <w:pStyle w:val="BodyText"/>
      </w:pPr>
      <w:r>
        <w:t xml:space="preserve">Email: billing@torontochemist.ca</w:t>
      </w:r>
    </w:p>
    <w:p>
      <w:pPr>
        <w:pStyle w:val="BodyText"/>
      </w:pPr>
      <w:r>
        <w:t xml:space="preserve">Business Number (BN): 123456789RT0001</w:t>
      </w:r>
    </w:p>
    <w:p>
      <w:pPr>
        <w:pStyle w:val="BodyText"/>
      </w:pPr>
      <w:r>
        <w:t xml:space="preserve">Ontario Pharmacy Licence No.: ON-2024-08847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TCH-2025-00472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St. Michael's Community Health Centre</w:t>
      </w:r>
    </w:p>
    <w:p>
      <w:pPr>
        <w:pStyle w:val="BodyText"/>
      </w:pPr>
      <w:r>
        <w:t xml:space="preserve">55 Bathurst Street, 4th Floor</w:t>
      </w:r>
    </w:p>
    <w:p>
      <w:pPr>
        <w:pStyle w:val="BodyText"/>
      </w:pPr>
      <w:r>
        <w:t xml:space="preserve">Toronto, Ontario M5V 3E4, Canada</w:t>
      </w:r>
    </w:p>
    <w:p>
      <w:pPr>
        <w:pStyle w:val="BodyText"/>
      </w:pPr>
      <w:r>
        <w:t xml:space="preserve">Attn: Dr. Margaret Chen, Procurement Director</w:t>
      </w:r>
    </w:p>
    <w:p>
      <w:pPr>
        <w:pStyle w:val="BodyText"/>
      </w:pPr>
      <w:r>
        <w:t xml:space="preserve">Phone: (416) 555-3321</w:t>
      </w:r>
    </w:p>
    <w:p>
      <w:pPr>
        <w:pStyle w:val="BodyText"/>
      </w:pPr>
      <w:r>
        <w:t xml:space="preserve">Email: procurement@smchc.ca</w:t>
      </w:r>
    </w:p>
    <w:p>
      <w:pPr>
        <w:pStyle w:val="BodyText"/>
      </w:pPr>
      <w:r>
        <w:t xml:space="preserve">Client Account No.: SMCH-2024-1187</w:t>
      </w:r>
    </w:p>
    <w:bookmarkEnd w:id="22"/>
    <w:bookmarkStart w:id="23" w:name="ship-to"/>
    <w:p>
      <w:pPr>
        <w:pStyle w:val="Heading3"/>
      </w:pPr>
      <w:r>
        <w:t xml:space="preserve">Ship To</w:t>
      </w:r>
    </w:p>
    <w:p>
      <w:pPr>
        <w:pStyle w:val="FirstParagraph"/>
      </w:pPr>
      <w:r>
        <w:rPr>
          <w:bCs/>
          <w:b/>
        </w:rPr>
        <w:t xml:space="preserve">St. Michael's Community Health Centre</w:t>
      </w:r>
    </w:p>
    <w:p>
      <w:pPr>
        <w:pStyle w:val="BodyText"/>
      </w:pPr>
      <w:r>
        <w:t xml:space="preserve">Pharmacy &amp; Supply Receiving Dock</w:t>
      </w:r>
    </w:p>
    <w:p>
      <w:pPr>
        <w:pStyle w:val="BodyText"/>
      </w:pPr>
      <w:r>
        <w:t xml:space="preserve">55 Bathurst Street, Ground Level</w:t>
      </w:r>
    </w:p>
    <w:p>
      <w:pPr>
        <w:pStyle w:val="BodyText"/>
      </w:pPr>
      <w:r>
        <w:t xml:space="preserve">Toronto, Ontario M5V 3E4, Canada</w:t>
      </w:r>
    </w:p>
    <w:p>
      <w:pPr>
        <w:pStyle w:val="BodyText"/>
      </w:pPr>
      <w:r>
        <w:t xml:space="preserve">Attn: Warehouse Manager, R. Okafor</w:t>
      </w:r>
    </w:p>
    <w:p>
      <w:pPr>
        <w:pStyle w:val="BodyText"/>
      </w:pPr>
      <w:r>
        <w:t xml:space="preserve">Delivery Window: 8:00 AM – 4:00 PM EST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Products &amp; Services</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Amoxicillin 500mg Capsules – 100-count blister pack (Prescription-grade chemist supply for outpatient dispensing)</w:t>
            </w:r>
          </w:p>
        </w:tc>
        <w:tc>
          <w:tcPr/>
          <w:p>
            <w:pPr>
              <w:pStyle w:val="Compact"/>
              <w:jc w:val="left"/>
            </w:pPr>
            <w:r>
              <w:t xml:space="preserve">TCH-AMX-500</w:t>
            </w:r>
          </w:p>
        </w:tc>
        <w:tc>
          <w:tcPr/>
          <w:p>
            <w:pPr>
              <w:pStyle w:val="Compact"/>
              <w:jc w:val="left"/>
            </w:pPr>
            <w:r>
              <w:t xml:space="preserve">250</w:t>
            </w:r>
          </w:p>
        </w:tc>
        <w:tc>
          <w:tcPr/>
          <w:p>
            <w:pPr>
              <w:pStyle w:val="Compact"/>
              <w:jc w:val="left"/>
            </w:pPr>
            <w:r>
              <w:t xml:space="preserve">$18.75</w:t>
            </w:r>
          </w:p>
        </w:tc>
        <w:tc>
          <w:tcPr/>
          <w:p>
            <w:pPr>
              <w:pStyle w:val="Compact"/>
              <w:jc w:val="left"/>
            </w:pPr>
            <w:r>
              <w:t xml:space="preserve">$4,687.50</w:t>
            </w:r>
          </w:p>
        </w:tc>
      </w:tr>
      <w:tr>
        <w:tc>
          <w:tcPr/>
          <w:p>
            <w:pPr>
              <w:pStyle w:val="Compact"/>
              <w:jc w:val="left"/>
            </w:pPr>
            <w:r>
              <w:t xml:space="preserve">2</w:t>
            </w:r>
          </w:p>
        </w:tc>
        <w:tc>
          <w:tcPr/>
          <w:p>
            <w:pPr>
              <w:pStyle w:val="Compact"/>
              <w:jc w:val="left"/>
            </w:pPr>
            <w:r>
              <w:t xml:space="preserve">Metformin HCl 1000mg Tablets – 90-count bottles (Bulk chemist order for chronic care management program)</w:t>
            </w:r>
          </w:p>
        </w:tc>
        <w:tc>
          <w:tcPr/>
          <w:p>
            <w:pPr>
              <w:pStyle w:val="Compact"/>
              <w:jc w:val="left"/>
            </w:pPr>
            <w:r>
              <w:t xml:space="preserve">TCH-MET-1000</w:t>
            </w:r>
          </w:p>
        </w:tc>
        <w:tc>
          <w:tcPr/>
          <w:p>
            <w:pPr>
              <w:pStyle w:val="Compact"/>
              <w:jc w:val="left"/>
            </w:pPr>
            <w:r>
              <w:t xml:space="preserve">400</w:t>
            </w:r>
          </w:p>
        </w:tc>
        <w:tc>
          <w:tcPr/>
          <w:p>
            <w:pPr>
              <w:pStyle w:val="Compact"/>
              <w:jc w:val="left"/>
            </w:pPr>
            <w:r>
              <w:t xml:space="preserve">$12.30</w:t>
            </w:r>
          </w:p>
        </w:tc>
        <w:tc>
          <w:tcPr/>
          <w:p>
            <w:pPr>
              <w:pStyle w:val="Compact"/>
              <w:jc w:val="left"/>
            </w:pPr>
            <w:r>
              <w:t xml:space="preserve">$4,920.00</w:t>
            </w:r>
          </w:p>
        </w:tc>
      </w:tr>
      <w:tr>
        <w:tc>
          <w:tcPr/>
          <w:p>
            <w:pPr>
              <w:pStyle w:val="Compact"/>
              <w:jc w:val="left"/>
            </w:pPr>
            <w:r>
              <w:t xml:space="preserve">3</w:t>
            </w:r>
          </w:p>
        </w:tc>
        <w:tc>
          <w:tcPr/>
          <w:p>
            <w:pPr>
              <w:pStyle w:val="Compact"/>
              <w:jc w:val="left"/>
            </w:pPr>
            <w:r>
              <w:t xml:space="preserve">Atorvastatin 40mg Tablets – 90-count bottles (Cardiology department chemist supply, Toronto regional allocation)</w:t>
            </w:r>
          </w:p>
        </w:tc>
        <w:tc>
          <w:tcPr/>
          <w:p>
            <w:pPr>
              <w:pStyle w:val="Compact"/>
              <w:jc w:val="left"/>
            </w:pPr>
            <w:r>
              <w:t xml:space="preserve">TCH-ATV-40</w:t>
            </w:r>
          </w:p>
        </w:tc>
        <w:tc>
          <w:tcPr/>
          <w:p>
            <w:pPr>
              <w:pStyle w:val="Compact"/>
              <w:jc w:val="left"/>
            </w:pPr>
            <w:r>
              <w:t xml:space="preserve">300</w:t>
            </w:r>
          </w:p>
        </w:tc>
        <w:tc>
          <w:tcPr/>
          <w:p>
            <w:pPr>
              <w:pStyle w:val="Compact"/>
              <w:jc w:val="left"/>
            </w:pPr>
            <w:r>
              <w:t xml:space="preserve">$15.60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Salbutamol 100mcg Inhaler – Unit-of-use (Respiratory care chemist inventory, cold-chain verified)</w:t>
            </w:r>
          </w:p>
        </w:tc>
        <w:tc>
          <w:tcPr/>
          <w:p>
            <w:pPr>
              <w:pStyle w:val="Compact"/>
              <w:jc w:val="left"/>
            </w:pPr>
            <w:r>
              <w:t xml:space="preserve">TCH-SAL-100</w:t>
            </w:r>
          </w:p>
        </w:tc>
        <w:tc>
          <w:tcPr/>
          <w:p>
            <w:pPr>
              <w:pStyle w:val="Compact"/>
              <w:jc w:val="left"/>
            </w:pPr>
            <w:r>
              <w:t xml:space="preserve">500</w:t>
            </w:r>
          </w:p>
        </w:tc>
        <w:tc>
          <w:tcPr/>
          <w:p>
            <w:pPr>
              <w:pStyle w:val="Compact"/>
              <w:jc w:val="left"/>
            </w:pPr>
            <w:r>
              <w:t xml:space="preserve">$9.45</w:t>
            </w:r>
          </w:p>
        </w:tc>
        <w:tc>
          <w:tcPr/>
          <w:p>
            <w:pPr>
              <w:pStyle w:val="Compact"/>
              <w:jc w:val="left"/>
            </w:pPr>
            <w:r>
              <w:t xml:space="preserve">$4,725.00</w:t>
            </w:r>
          </w:p>
        </w:tc>
      </w:tr>
      <w:tr>
        <w:tc>
          <w:tcPr/>
          <w:p>
            <w:pPr>
              <w:pStyle w:val="Compact"/>
              <w:jc w:val="left"/>
            </w:pPr>
            <w:r>
              <w:t xml:space="preserve">5</w:t>
            </w:r>
          </w:p>
        </w:tc>
        <w:tc>
          <w:tcPr/>
          <w:p>
            <w:pPr>
              <w:pStyle w:val="Compact"/>
              <w:jc w:val="left"/>
            </w:pPr>
            <w:r>
              <w:t xml:space="preserve">Professional Chemist Consultation &amp; Drug Interaction Review (4-hour on-site service at Toronto facility)</w:t>
            </w:r>
          </w:p>
        </w:tc>
        <w:tc>
          <w:tcPr/>
          <w:p>
            <w:pPr>
              <w:pStyle w:val="Compact"/>
              <w:jc w:val="left"/>
            </w:pPr>
            <w:r>
              <w:t xml:space="preserve">TCH-SVC-DCR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Pharmaceutical Waste Disposal &amp; Compliance Service (Ontario Environmental Standards, quarterly)</w:t>
            </w:r>
          </w:p>
        </w:tc>
        <w:tc>
          <w:tcPr/>
          <w:p>
            <w:pPr>
              <w:pStyle w:val="Compact"/>
              <w:jc w:val="left"/>
            </w:pPr>
            <w:r>
              <w:t xml:space="preserve">TCH-SVC-PWD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Custom Compounding – Topical Corticosteroid Cream 0.1% (500g batch, Toronto chemist laboratory preparation)</w:t>
            </w:r>
          </w:p>
        </w:tc>
        <w:tc>
          <w:tcPr/>
          <w:p>
            <w:pPr>
              <w:pStyle w:val="Compact"/>
              <w:jc w:val="left"/>
            </w:pPr>
            <w:r>
              <w:t xml:space="preserve">TCH-CMP-TC01</w:t>
            </w:r>
          </w:p>
        </w:tc>
        <w:tc>
          <w:tcPr/>
          <w:p>
            <w:pPr>
              <w:pStyle w:val="Compact"/>
              <w:jc w:val="left"/>
            </w:pPr>
            <w:r>
              <w:t xml:space="preserve">2</w:t>
            </w:r>
          </w:p>
        </w:tc>
        <w:tc>
          <w:tcPr/>
          <w:p>
            <w:pPr>
              <w:pStyle w:val="Compact"/>
              <w:jc w:val="left"/>
            </w:pPr>
            <w:r>
              <w:t xml:space="preserve">$340.00</w:t>
            </w:r>
          </w:p>
        </w:tc>
        <w:tc>
          <w:tcPr/>
          <w:p>
            <w:pPr>
              <w:pStyle w:val="Compact"/>
              <w:jc w:val="left"/>
            </w:pPr>
            <w:r>
              <w:t xml:space="preserve">$680.00</w:t>
            </w:r>
          </w:p>
        </w:tc>
      </w:tr>
      <w:tr>
        <w:tc>
          <w:tcPr/>
          <w:p>
            <w:pPr>
              <w:pStyle w:val="Compact"/>
              <w:jc w:val="left"/>
            </w:pPr>
            <w:r>
              <w:t xml:space="preserve">8</w:t>
            </w:r>
          </w:p>
        </w:tc>
        <w:tc>
          <w:tcPr/>
          <w:p>
            <w:pPr>
              <w:pStyle w:val="Compact"/>
              <w:jc w:val="left"/>
            </w:pPr>
            <w:r>
              <w:t xml:space="preserve">Delivery &amp; Cold-Chain Logistics within Greater Toronto Area (GTA) – Insulated transport, temperature-monitored</w:t>
            </w:r>
          </w:p>
        </w:tc>
        <w:tc>
          <w:tcPr/>
          <w:p>
            <w:pPr>
              <w:pStyle w:val="Compact"/>
              <w:jc w:val="left"/>
            </w:pPr>
            <w:r>
              <w:t xml:space="preserve">TCH-SVC-DEL</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$21,017.50</w:t>
            </w:r>
          </w:p>
        </w:tc>
      </w:tr>
      <w:tr>
        <w:tc>
          <w:tcPr/>
          <w:p>
            <w:pPr>
              <w:pStyle w:val="Compact"/>
              <w:jc w:val="left"/>
            </w:pPr>
            <w:r>
              <w:t xml:space="preserve">Volume Discount (5% – Toronto institutional rate)</w:t>
            </w:r>
          </w:p>
        </w:tc>
        <w:tc>
          <w:tcPr/>
          <w:p>
            <w:pPr>
              <w:pStyle w:val="Compact"/>
              <w:jc w:val="left"/>
            </w:pPr>
            <w:r>
              <w:t xml:space="preserve">-$1,050.88</w:t>
            </w:r>
          </w:p>
        </w:tc>
      </w:tr>
      <w:tr>
        <w:tc>
          <w:tcPr/>
          <w:p>
            <w:pPr>
              <w:pStyle w:val="Compact"/>
              <w:jc w:val="left"/>
            </w:pPr>
            <w:r>
              <w:t xml:space="preserve">Adjustable Subtotal (CAD)</w:t>
            </w:r>
          </w:p>
        </w:tc>
        <w:tc>
          <w:tcPr/>
          <w:p>
            <w:pPr>
              <w:pStyle w:val="Compact"/>
              <w:jc w:val="left"/>
            </w:pPr>
            <w:r>
              <w:t xml:space="preserve">$19,966.62</w:t>
            </w:r>
          </w:p>
        </w:tc>
      </w:tr>
      <w:tr>
        <w:tc>
          <w:tcPr/>
          <w:p>
            <w:pPr>
              <w:pStyle w:val="Compact"/>
              <w:jc w:val="left"/>
            </w:pPr>
            <w:r>
              <w:t xml:space="preserve">HST (13% – Ontario, Canada)</w:t>
            </w:r>
          </w:p>
        </w:tc>
        <w:tc>
          <w:tcPr/>
          <w:p>
            <w:pPr>
              <w:pStyle w:val="Compact"/>
              <w:jc w:val="left"/>
            </w:pPr>
            <w:r>
              <w:t xml:space="preserve">$2,595.66</w:t>
            </w:r>
          </w:p>
        </w:tc>
      </w:tr>
      <w:tr>
        <w:tc>
          <w:tcPr/>
          <w:p>
            <w:pPr>
              <w:pStyle w:val="Compact"/>
              <w:jc w:val="left"/>
            </w:pPr>
            <w:r>
              <w:t xml:space="preserve">TOTAL DUE (CAD)</w:t>
            </w:r>
          </w:p>
        </w:tc>
        <w:tc>
          <w:tcPr/>
          <w:p>
            <w:pPr>
              <w:pStyle w:val="Compact"/>
              <w:jc w:val="left"/>
            </w:pPr>
            <w:r>
              <w:t xml:space="preserve">$22,562.28</w:t>
            </w:r>
          </w:p>
        </w:tc>
      </w:tr>
    </w:tbl>
    <w:bookmarkStart w:id="24" w:name="payment-instructions-terms"/>
    <w:p>
      <w:pPr>
        <w:pStyle w:val="Heading3"/>
      </w:pPr>
      <w:r>
        <w:t xml:space="preserve">Payment Instructions &amp; Terms</w:t>
      </w:r>
    </w:p>
    <w:p>
      <w:pPr>
        <w:pStyle w:val="FirstParagraph"/>
      </w:pPr>
      <w:r>
        <w:rPr>
          <w:bCs/>
          <w:b/>
        </w:rPr>
        <w:t xml:space="preserve">Method:</w:t>
      </w:r>
      <w:r>
        <w:t xml:space="preserve"> </w:t>
      </w:r>
      <w:r>
        <w:t xml:space="preserve">Electronic Funds Transfer (EFT) / Interac e-Transfer / Cheque (payable to "Toronto Chemist &amp; Pharmaceutical Services Ltd.")</w:t>
      </w:r>
    </w:p>
    <w:p>
      <w:pPr>
        <w:pStyle w:val="BodyText"/>
      </w:pPr>
      <w:r>
        <w:rPr>
          <w:bCs/>
          <w:b/>
        </w:rPr>
        <w:t xml:space="preserve">Bank:</w:t>
      </w:r>
      <w:r>
        <w:t xml:space="preserve"> </w:t>
      </w:r>
      <w:r>
        <w:t xml:space="preserve">Royal Bank of Canada – Toronto Downtown Branch</w:t>
      </w:r>
    </w:p>
    <w:p>
      <w:pPr>
        <w:pStyle w:val="BodyText"/>
      </w:pPr>
      <w:r>
        <w:rPr>
          <w:bCs/>
          <w:b/>
        </w:rPr>
        <w:t xml:space="preserve">Transit No.:</w:t>
      </w:r>
      <w:r>
        <w:t xml:space="preserve"> </w:t>
      </w:r>
      <w:r>
        <w:t xml:space="preserve">00123 |</w:t>
      </w:r>
      <w:r>
        <w:t xml:space="preserve"> </w:t>
      </w:r>
      <w:r>
        <w:rPr>
          <w:bCs/>
          <w:b/>
        </w:rPr>
        <w:t xml:space="preserve">Institution No.:</w:t>
      </w:r>
      <w:r>
        <w:t xml:space="preserve"> </w:t>
      </w:r>
      <w:r>
        <w:t xml:space="preserve">003 |</w:t>
      </w:r>
      <w:r>
        <w:t xml:space="preserve"> </w:t>
      </w:r>
      <w:r>
        <w:rPr>
          <w:bCs/>
          <w:b/>
        </w:rPr>
        <w:t xml:space="preserve">Account No.:</w:t>
      </w:r>
      <w:r>
        <w:t xml:space="preserve"> </w:t>
      </w:r>
      <w:r>
        <w:t xml:space="preserve">456789012</w:t>
      </w:r>
    </w:p>
    <w:p>
      <w:pPr>
        <w:pStyle w:val="BodyText"/>
      </w:pPr>
      <w:r>
        <w:rPr>
          <w:bCs/>
          <w:b/>
        </w:rPr>
        <w:t xml:space="preserve">Reference:</w:t>
      </w:r>
      <w:r>
        <w:t xml:space="preserve"> </w:t>
      </w:r>
      <w:r>
        <w:t xml:space="preserve">Please cite Invoice No. TCH-2025-00472 on all remittances.</w:t>
      </w:r>
    </w:p>
    <w:p>
      <w:pPr>
        <w:pStyle w:val="BodyText"/>
      </w:pPr>
      <w:r>
        <w:rPr>
          <w:bCs/>
          <w:b/>
        </w:rPr>
        <w:t xml:space="preserve">Due Date:</w:t>
      </w:r>
      <w:r>
        <w:t xml:space="preserve"> </w:t>
      </w:r>
      <w:r>
        <w:t xml:space="preserve">This invoice is due within thirty (30) calendar days of the invoice date, i.e., on or before July 12, 2025. Late payments are subject to a 1.5% monthly interest charge in accordance with the Ontario Business Corporations Act and applicable Canadian commercial law.</w:t>
      </w:r>
    </w:p>
    <w:p>
      <w:pPr>
        <w:pStyle w:val="BodyText"/>
      </w:pPr>
      <w:r>
        <w:rPr>
          <w:bCs/>
          <w:b/>
        </w:rPr>
        <w:t xml:space="preserve">Disputes:</w:t>
      </w:r>
      <w:r>
        <w:t xml:space="preserve"> </w:t>
      </w:r>
      <w:r>
        <w:t xml:space="preserve">Any billing discrepancies must be reported in writing to billing@torontochemist.ca within ten (10) business days of receipt of this invoice. Undisputed portions remain payable on the original due date.</w:t>
      </w:r>
    </w:p>
    <w:bookmarkEnd w:id="24"/>
    <w:bookmarkStart w:id="25" w:name="additional-notes-compliance-information"/>
    <w:p>
      <w:pPr>
        <w:pStyle w:val="Heading3"/>
      </w:pPr>
      <w:r>
        <w:t xml:space="preserve">Additional Notes &amp; Compliance Information</w:t>
      </w:r>
    </w:p>
    <w:p>
      <w:pPr>
        <w:pStyle w:val="FirstParagraph"/>
      </w:pPr>
      <w:r>
        <w:t xml:space="preserve">All pharmaceutical products listed on this invoice have been sourced in full compliance with the Canadian Food and Drugs Act, the Ontario Pharmacy Act (R.S.O. 1990, c. P.28), and Health Canada regulatory standards. Each batch has been verified by our licensed Toronto chemist team prior to dispatch. Cold-chain integrity documentation is enclosed with the physical shipment.</w:t>
      </w:r>
    </w:p>
    <w:p>
      <w:pPr>
        <w:pStyle w:val="BodyText"/>
      </w:pPr>
      <w:r>
        <w:t xml:space="preserve">This invoice is issued by Toronto Chemist &amp; Pharmaceutical Services Ltd., a corporation registered in the Province of Ontario, Canada, and operating under the supervision of a registered pharmacist in good standing with the College of Pharmacists of Ontario. All controlled substance transactions, where applicable, are recorded in accordance with federal and provincial narcotics regulations.</w:t>
      </w:r>
    </w:p>
    <w:p>
      <w:pPr>
        <w:pStyle w:val="BodyText"/>
      </w:pPr>
      <w:r>
        <w:t xml:space="preserve">By accepting this invoice, the client acknowledges receipt of the goods and services described herein and agrees to the payment terms outlined above. This document serves as the official financial record for the transaction and may be referenced for tax, audit, and regulatory purposes within Canada.</w:t>
      </w:r>
    </w:p>
    <w:bookmarkEnd w:id="25"/>
    <w:p>
      <w:pPr>
        <w:pStyle w:val="BodyText"/>
      </w:pPr>
      <w:r>
        <w:rPr>
          <w:bCs/>
          <w:b/>
        </w:rPr>
        <w:t xml:space="preserve">Toronto Chemist &amp; Pharmaceutical Services Ltd.</w:t>
      </w:r>
      <w:r>
        <w:t xml:space="preserve"> </w:t>
      </w:r>
      <w:r>
        <w:t xml:space="preserve">| 1247 Yonge Street, Suite 302, Toronto, Ontario M4W 1Y8, Canada</w:t>
      </w:r>
    </w:p>
    <w:p>
      <w:pPr>
        <w:pStyle w:val="BodyText"/>
      </w:pPr>
      <w:r>
        <w:t xml:space="preserve">Registered in Ontario, Canada | BN: 123456789RT0001 | Ontario Pharmacy Licence: ON-2024-08847</w:t>
      </w:r>
    </w:p>
    <w:p>
      <w:pPr>
        <w:pStyle w:val="BodyText"/>
      </w:pPr>
      <w:r>
        <w:t xml:space="preserve">This invoice was generated electronically and is valid without a physical signature. For questions regarding this invoice, contact our Toronto billing office at (416) 555-0192, Monday through Friday, 9:00 AM to 5:00 PM EST.</w:t>
      </w:r>
    </w:p>
    <w:p>
      <w:pPr>
        <w:pStyle w:val="BodyText"/>
      </w:pPr>
      <w:r>
        <w:t xml:space="preserve">© 2025 Toronto Chemist &amp; Pharmaceutical Services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Toronto Chemist &amp; Pharmaceutical Services</dc:title>
  <dc:creator/>
  <dc:language>en</dc:language>
  <cp:keywords/>
  <dcterms:created xsi:type="dcterms:W3CDTF">2026-10-10T03:28:48Z</dcterms:created>
  <dcterms:modified xsi:type="dcterms:W3CDTF">2026-10-10T03:28:48Z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