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Quimica</w:t>
      </w:r>
      <w:r>
        <w:t xml:space="preserve"> </w:t>
      </w:r>
      <w:r>
        <w:t xml:space="preserve">Bogotá</w:t>
      </w:r>
      <w:r>
        <w:t xml:space="preserve"> </w:t>
      </w:r>
      <w:r>
        <w:t xml:space="preserve">Chemist</w:t>
      </w:r>
    </w:p>
    <w:bookmarkStart w:id="20" w:name="química-bogotá-chemist"/>
    <w:p>
      <w:pPr>
        <w:pStyle w:val="Heading1"/>
      </w:pPr>
      <w:r>
        <w:t xml:space="preserve">Química Bogotá Chemist</w:t>
      </w:r>
    </w:p>
    <w:p>
      <w:pPr>
        <w:pStyle w:val="FirstParagraph"/>
      </w:pPr>
      <w:r>
        <w:t xml:space="preserve">Pharmacy &amp; Pharmaceutical Services</w:t>
      </w:r>
    </w:p>
    <w:p>
      <w:pPr>
        <w:pStyle w:val="BodyText"/>
      </w:pPr>
      <w:r>
        <w:t xml:space="preserve">Carrera 15 # 85-42, Piso 3</w:t>
      </w:r>
    </w:p>
    <w:p>
      <w:pPr>
        <w:pStyle w:val="BodyText"/>
      </w:pPr>
      <w:r>
        <w:t xml:space="preserve">Chapinero, Bogotá D.C., Colombia</w:t>
      </w:r>
    </w:p>
    <w:p>
      <w:pPr>
        <w:pStyle w:val="BodyText"/>
      </w:pPr>
      <w:r>
        <w:t xml:space="preserve">Tel: +57 (601) 555 7842</w:t>
      </w:r>
    </w:p>
    <w:p>
      <w:pPr>
        <w:pStyle w:val="BodyText"/>
      </w:pPr>
      <w:r>
        <w:t xml:space="preserve">Email: facturacion@quimicabogota.com.co</w:t>
      </w:r>
    </w:p>
    <w:p>
      <w:pPr>
        <w:pStyle w:val="BodyText"/>
      </w:pPr>
      <w:r>
        <w:t xml:space="preserve">NIT: 901.234.567-8 | Régimen: Común</w:t>
      </w:r>
    </w:p>
    <w:bookmarkEnd w:id="20"/>
    <w:bookmarkStart w:id="21" w:name="invoice"/>
    <w:p>
      <w:pPr>
        <w:pStyle w:val="Heading2"/>
      </w:pPr>
      <w:r>
        <w:t xml:space="preserve">INVOICE</w:t>
      </w:r>
    </w:p>
    <w:p>
      <w:pPr>
        <w:pStyle w:val="FirstParagraph"/>
      </w:pPr>
      <w:r>
        <w:t xml:space="preserve">FACTURA DE VENTA</w:t>
      </w:r>
    </w:p>
    <w:p>
      <w:pPr>
        <w:pStyle w:val="BodyText"/>
      </w:pPr>
      <w:r>
        <w:t xml:space="preserve">Invoice No.: QB-2025-004872</w:t>
      </w:r>
    </w:p>
    <w:p>
      <w:pPr>
        <w:pStyle w:val="BodyText"/>
      </w:pPr>
      <w:r>
        <w:t xml:space="preserve">Date: June 12, 2025</w:t>
      </w:r>
    </w:p>
    <w:p>
      <w:pPr>
        <w:pStyle w:val="BodyText"/>
      </w:pPr>
      <w:r>
        <w:t xml:space="preserve">Due Date: June 26, 2025</w:t>
      </w:r>
    </w:p>
    <w:bookmarkEnd w:id="21"/>
    <w:bookmarkStart w:id="22" w:name="billed-to-cliente"/>
    <w:p>
      <w:pPr>
        <w:pStyle w:val="Heading3"/>
      </w:pPr>
      <w:r>
        <w:t xml:space="preserve">Billed To (Cliente)</w:t>
      </w:r>
    </w:p>
    <w:p>
      <w:pPr>
        <w:pStyle w:val="FirstParagraph"/>
      </w:pPr>
      <w:r>
        <w:rPr>
          <w:bCs/>
          <w:b/>
        </w:rPr>
        <w:t xml:space="preserve">Clínica Santa Fe de Bogotá</w:t>
      </w:r>
    </w:p>
    <w:p>
      <w:pPr>
        <w:pStyle w:val="BodyText"/>
      </w:pPr>
      <w:r>
        <w:t xml:space="preserve">Attn: Dr. Alejandro Restrepo, Pharmacy Director</w:t>
      </w:r>
    </w:p>
    <w:p>
      <w:pPr>
        <w:pStyle w:val="BodyText"/>
      </w:pPr>
      <w:r>
        <w:t xml:space="preserve">Calle 45 # 10-25, Piso 7</w:t>
      </w:r>
    </w:p>
    <w:p>
      <w:pPr>
        <w:pStyle w:val="BodyText"/>
      </w:pPr>
      <w:r>
        <w:t xml:space="preserve">Chapinero, Bogotá D.C., Colombia</w:t>
      </w:r>
    </w:p>
    <w:p>
      <w:pPr>
        <w:pStyle w:val="BodyText"/>
      </w:pPr>
      <w:r>
        <w:t xml:space="preserve">NIT: 830.456.789-1</w:t>
      </w:r>
    </w:p>
    <w:p>
      <w:pPr>
        <w:pStyle w:val="BodyText"/>
      </w:pPr>
      <w:r>
        <w:t xml:space="preserve">Phone: +57 (601) 310 2200</w:t>
      </w:r>
    </w:p>
    <w:bookmarkEnd w:id="22"/>
    <w:bookmarkStart w:id="23" w:name="invoice-details"/>
    <w:p>
      <w:pPr>
        <w:pStyle w:val="Heading3"/>
      </w:pPr>
      <w:r>
        <w:t xml:space="preserve">Invoice Details</w:t>
      </w:r>
    </w:p>
    <w:p>
      <w:pPr>
        <w:pStyle w:val="FirstParagraph"/>
      </w:pPr>
      <w:r>
        <w:rPr>
          <w:bCs/>
          <w:b/>
        </w:rPr>
        <w:t xml:space="preserve">Invoice Type:</w:t>
      </w:r>
      <w:r>
        <w:t xml:space="preserve"> </w:t>
      </w:r>
      <w:r>
        <w:t xml:space="preserve">Factura de Venta</w:t>
      </w:r>
    </w:p>
    <w:p>
      <w:pPr>
        <w:pStyle w:val="BodyText"/>
      </w:pPr>
      <w:r>
        <w:rPr>
          <w:bCs/>
          <w:b/>
        </w:rPr>
        <w:t xml:space="preserve">Payment Terms:</w:t>
      </w:r>
      <w:r>
        <w:t xml:space="preserve"> </w:t>
      </w:r>
      <w:r>
        <w:t xml:space="preserve">Net 15 days</w:t>
      </w:r>
    </w:p>
    <w:p>
      <w:pPr>
        <w:pStyle w:val="BodyText"/>
      </w:pPr>
      <w:r>
        <w:rPr>
          <w:bCs/>
          <w:b/>
        </w:rPr>
        <w:t xml:space="preserve">Payment Method:</w:t>
      </w:r>
      <w:r>
        <w:t xml:space="preserve"> </w:t>
      </w:r>
      <w:r>
        <w:t xml:space="preserve">Bank Transfer (Efectivo)</w:t>
      </w:r>
    </w:p>
    <w:p>
      <w:pPr>
        <w:pStyle w:val="BodyText"/>
      </w:pPr>
      <w:r>
        <w:rPr>
          <w:bCs/>
          <w:b/>
        </w:rPr>
        <w:t xml:space="preserve">Bank:</w:t>
      </w:r>
      <w:r>
        <w:t xml:space="preserve"> </w:t>
      </w:r>
      <w:r>
        <w:t xml:space="preserve">Bancolombia</w:t>
      </w:r>
    </w:p>
    <w:p>
      <w:pPr>
        <w:pStyle w:val="BodyText"/>
      </w:pPr>
      <w:r>
        <w:rPr>
          <w:bCs/>
          <w:b/>
        </w:rPr>
        <w:t xml:space="preserve">Account No.:</w:t>
      </w:r>
      <w:r>
        <w:t xml:space="preserve"> </w:t>
      </w:r>
      <w:r>
        <w:t xml:space="preserve">410-2233-4455-66</w:t>
      </w:r>
    </w:p>
    <w:p>
      <w:pPr>
        <w:pStyle w:val="BodyText"/>
      </w:pPr>
      <w:r>
        <w:rPr>
          <w:bCs/>
          <w:b/>
        </w:rPr>
        <w:t xml:space="preserve">Reference:</w:t>
      </w:r>
      <w:r>
        <w:t xml:space="preserve"> </w:t>
      </w:r>
      <w:r>
        <w:t xml:space="preserve">QB-2025-004872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Amoxicillin 500mg Capsules – 24 capsules per box (Prescription required per INVIMA regulations)</w:t>
            </w:r>
          </w:p>
        </w:tc>
        <w:tc>
          <w:tcPr/>
          <w:p>
            <w:pPr>
              <w:pStyle w:val="Compact"/>
              <w:jc w:val="left"/>
            </w:pPr>
            <w:r>
              <w:t xml:space="preserve">QBC-AMX-500</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Ibuprofen 400mg Tablets – 30 tablets per blister (OTC – Over the Counter)</w:t>
            </w:r>
          </w:p>
        </w:tc>
        <w:tc>
          <w:tcPr/>
          <w:p>
            <w:pPr>
              <w:pStyle w:val="Compact"/>
              <w:jc w:val="left"/>
            </w:pPr>
            <w:r>
              <w:t xml:space="preserve">QBC-IBU-400</w:t>
            </w:r>
          </w:p>
        </w:tc>
        <w:tc>
          <w:tcPr/>
          <w:p>
            <w:pPr>
              <w:pStyle w:val="Compact"/>
              <w:jc w:val="left"/>
            </w:pPr>
            <w:r>
              <w:t xml:space="preserve">200</w:t>
            </w:r>
          </w:p>
        </w:tc>
        <w:tc>
          <w:tcPr/>
          <w:p>
            <w:pPr>
              <w:pStyle w:val="Compact"/>
              <w:jc w:val="left"/>
            </w:pPr>
            <w:r>
              <w:t xml:space="preserve">9,800</w:t>
            </w:r>
          </w:p>
        </w:tc>
        <w:tc>
          <w:tcPr/>
          <w:p>
            <w:pPr>
              <w:pStyle w:val="Compact"/>
              <w:jc w:val="left"/>
            </w:pPr>
            <w:r>
              <w:t xml:space="preserve">1,960,000</w:t>
            </w:r>
          </w:p>
        </w:tc>
      </w:tr>
      <w:tr>
        <w:tc>
          <w:tcPr/>
          <w:p>
            <w:pPr>
              <w:pStyle w:val="Compact"/>
              <w:jc w:val="left"/>
            </w:pPr>
            <w:r>
              <w:t xml:space="preserve">3</w:t>
            </w:r>
          </w:p>
        </w:tc>
        <w:tc>
          <w:tcPr/>
          <w:p>
            <w:pPr>
              <w:pStyle w:val="Compact"/>
              <w:jc w:val="left"/>
            </w:pPr>
            <w:r>
              <w:t xml:space="preserve">Insulin Glargine 100 UI/mL – 3 mL vial (Cold chain storage required, 2°C–8°C)</w:t>
            </w:r>
          </w:p>
        </w:tc>
        <w:tc>
          <w:tcPr/>
          <w:p>
            <w:pPr>
              <w:pStyle w:val="Compact"/>
              <w:jc w:val="left"/>
            </w:pPr>
            <w:r>
              <w:t xml:space="preserve">QBC-INS-GLA</w:t>
            </w:r>
          </w:p>
        </w:tc>
        <w:tc>
          <w:tcPr/>
          <w:p>
            <w:pPr>
              <w:pStyle w:val="Compact"/>
              <w:jc w:val="left"/>
            </w:pPr>
            <w:r>
              <w:t xml:space="preserve">45</w:t>
            </w:r>
          </w:p>
        </w:tc>
        <w:tc>
          <w:tcPr/>
          <w:p>
            <w:pPr>
              <w:pStyle w:val="Compact"/>
              <w:jc w:val="left"/>
            </w:pPr>
            <w:r>
              <w:t xml:space="preserve">87,200</w:t>
            </w:r>
          </w:p>
        </w:tc>
        <w:tc>
          <w:tcPr/>
          <w:p>
            <w:pPr>
              <w:pStyle w:val="Compact"/>
              <w:jc w:val="left"/>
            </w:pPr>
            <w:r>
              <w:t xml:space="preserve">3,924,000</w:t>
            </w:r>
          </w:p>
        </w:tc>
      </w:tr>
      <w:tr>
        <w:tc>
          <w:tcPr/>
          <w:p>
            <w:pPr>
              <w:pStyle w:val="Compact"/>
              <w:jc w:val="left"/>
            </w:pPr>
            <w:r>
              <w:t xml:space="preserve">4</w:t>
            </w:r>
          </w:p>
        </w:tc>
        <w:tc>
          <w:tcPr/>
          <w:p>
            <w:pPr>
              <w:pStyle w:val="Compact"/>
              <w:jc w:val="left"/>
            </w:pPr>
            <w:r>
              <w:t xml:space="preserve">Paracetamol 1g Suppositories – 12 units per box (Pediatric formulation)</w:t>
            </w:r>
          </w:p>
        </w:tc>
        <w:tc>
          <w:tcPr/>
          <w:p>
            <w:pPr>
              <w:pStyle w:val="Compact"/>
              <w:jc w:val="left"/>
            </w:pPr>
            <w:r>
              <w:t xml:space="preserve">QBC-PAR-1G</w:t>
            </w:r>
          </w:p>
        </w:tc>
        <w:tc>
          <w:tcPr/>
          <w:p>
            <w:pPr>
              <w:pStyle w:val="Compact"/>
              <w:jc w:val="left"/>
            </w:pPr>
            <w:r>
              <w:t xml:space="preserve">80</w:t>
            </w:r>
          </w:p>
        </w:tc>
        <w:tc>
          <w:tcPr/>
          <w:p>
            <w:pPr>
              <w:pStyle w:val="Compact"/>
              <w:jc w:val="left"/>
            </w:pPr>
            <w:r>
              <w:t xml:space="preserve">12,400</w:t>
            </w:r>
          </w:p>
        </w:tc>
        <w:tc>
          <w:tcPr/>
          <w:p>
            <w:pPr>
              <w:pStyle w:val="Compact"/>
              <w:jc w:val="left"/>
            </w:pPr>
            <w:r>
              <w:t xml:space="preserve">992,000</w:t>
            </w:r>
          </w:p>
        </w:tc>
      </w:tr>
      <w:tr>
        <w:tc>
          <w:tcPr/>
          <w:p>
            <w:pPr>
              <w:pStyle w:val="Compact"/>
              <w:jc w:val="left"/>
            </w:pPr>
            <w:r>
              <w:t xml:space="preserve">5</w:t>
            </w:r>
          </w:p>
        </w:tc>
        <w:tc>
          <w:tcPr/>
          <w:p>
            <w:pPr>
              <w:pStyle w:val="Compact"/>
              <w:jc w:val="left"/>
            </w:pPr>
            <w:r>
              <w:t xml:space="preserve">Sterile Normal Saline 0.9% – 500 mL IV bags (Hospital-grade, single use)</w:t>
            </w:r>
          </w:p>
        </w:tc>
        <w:tc>
          <w:tcPr/>
          <w:p>
            <w:pPr>
              <w:pStyle w:val="Compact"/>
              <w:jc w:val="left"/>
            </w:pPr>
            <w:r>
              <w:t xml:space="preserve">QBC-SAL-500</w:t>
            </w:r>
          </w:p>
        </w:tc>
        <w:tc>
          <w:tcPr/>
          <w:p>
            <w:pPr>
              <w:pStyle w:val="Compact"/>
              <w:jc w:val="left"/>
            </w:pPr>
            <w:r>
              <w:t xml:space="preserve">300</w:t>
            </w:r>
          </w:p>
        </w:tc>
        <w:tc>
          <w:tcPr/>
          <w:p>
            <w:pPr>
              <w:pStyle w:val="Compact"/>
              <w:jc w:val="left"/>
            </w:pPr>
            <w:r>
              <w:t xml:space="preserve">4,200</w:t>
            </w:r>
          </w:p>
        </w:tc>
        <w:tc>
          <w:tcPr/>
          <w:p>
            <w:pPr>
              <w:pStyle w:val="Compact"/>
              <w:jc w:val="left"/>
            </w:pPr>
            <w:r>
              <w:t xml:space="preserve">1,260,000</w:t>
            </w:r>
          </w:p>
        </w:tc>
      </w:tr>
      <w:tr>
        <w:tc>
          <w:tcPr/>
          <w:p>
            <w:pPr>
              <w:pStyle w:val="Compact"/>
              <w:jc w:val="left"/>
            </w:pPr>
            <w:r>
              <w:t xml:space="preserve">6</w:t>
            </w:r>
          </w:p>
        </w:tc>
        <w:tc>
          <w:tcPr/>
          <w:p>
            <w:pPr>
              <w:pStyle w:val="Compact"/>
              <w:jc w:val="left"/>
            </w:pPr>
            <w:r>
              <w:t xml:space="preserve">Pharmaceutical Compounding Service – Custom preparation of topical ointment (Hydrocortisone 1% in white soft paraffin, 30g tubes)</w:t>
            </w:r>
          </w:p>
        </w:tc>
        <w:tc>
          <w:tcPr/>
          <w:p>
            <w:pPr>
              <w:pStyle w:val="Compact"/>
              <w:jc w:val="left"/>
            </w:pPr>
            <w:r>
              <w:t xml:space="preserve">QBC-SVC-COMP</w:t>
            </w:r>
          </w:p>
        </w:tc>
        <w:tc>
          <w:tcPr/>
          <w:p>
            <w:pPr>
              <w:pStyle w:val="Compact"/>
              <w:jc w:val="left"/>
            </w:pPr>
            <w:r>
              <w:t xml:space="preserve">60</w:t>
            </w:r>
          </w:p>
        </w:tc>
        <w:tc>
          <w:tcPr/>
          <w:p>
            <w:pPr>
              <w:pStyle w:val="Compact"/>
              <w:jc w:val="left"/>
            </w:pPr>
            <w:r>
              <w:t xml:space="preserve">28,000</w:t>
            </w:r>
          </w:p>
        </w:tc>
        <w:tc>
          <w:tcPr/>
          <w:p>
            <w:pPr>
              <w:pStyle w:val="Compact"/>
              <w:jc w:val="left"/>
            </w:pPr>
            <w:r>
              <w:t xml:space="preserve">1,680,000</w:t>
            </w:r>
          </w:p>
        </w:tc>
      </w:tr>
      <w:tr>
        <w:tc>
          <w:tcPr/>
          <w:p>
            <w:pPr>
              <w:pStyle w:val="Compact"/>
              <w:jc w:val="left"/>
            </w:pPr>
            <w:r>
              <w:t xml:space="preserve">7</w:t>
            </w:r>
          </w:p>
        </w:tc>
        <w:tc>
          <w:tcPr/>
          <w:p>
            <w:pPr>
              <w:pStyle w:val="Compact"/>
              <w:jc w:val="left"/>
            </w:pPr>
            <w:r>
              <w:t xml:space="preserve">Pharmaceutical Consultation &amp; Drug Interaction Review – On-site service at Bogotá clinic facility</w:t>
            </w:r>
          </w:p>
        </w:tc>
        <w:tc>
          <w:tcPr/>
          <w:p>
            <w:pPr>
              <w:pStyle w:val="Compact"/>
              <w:jc w:val="left"/>
            </w:pPr>
            <w:r>
              <w:t xml:space="preserve">QBC-SVC-CONS</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8</w:t>
            </w:r>
          </w:p>
        </w:tc>
        <w:tc>
          <w:tcPr/>
          <w:p>
            <w:pPr>
              <w:pStyle w:val="Compact"/>
              <w:jc w:val="left"/>
            </w:pPr>
            <w:r>
              <w:t xml:space="preserve">Cold Chain Logistics &amp; Delivery Service – Refrigerated transport within Bogotá D.C. metro area</w:t>
            </w:r>
          </w:p>
        </w:tc>
        <w:tc>
          <w:tcPr/>
          <w:p>
            <w:pPr>
              <w:pStyle w:val="Compact"/>
              <w:jc w:val="left"/>
            </w:pPr>
            <w:r>
              <w:t xml:space="preserve">QBC-SVC-LOG</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rPr>
                <w:bCs/>
                <w:b/>
              </w:rPr>
              <w:t xml:space="preserve">12,856,000</w:t>
            </w:r>
          </w:p>
        </w:tc>
      </w:tr>
      <w:tr>
        <w:tc>
          <w:tcPr/>
          <w:p>
            <w:pPr>
              <w:pStyle w:val="Compact"/>
              <w:jc w:val="left"/>
            </w:pPr>
            <w:r>
              <w:t xml:space="preserve">Discount – Corporate Agreement (5%)</w:t>
            </w:r>
          </w:p>
        </w:tc>
        <w:tc>
          <w:tcPr/>
          <w:p>
            <w:pPr>
              <w:pStyle w:val="Compact"/>
              <w:jc w:val="right"/>
            </w:pPr>
            <w:r>
              <w:t xml:space="preserve">(642,800)</w:t>
            </w:r>
          </w:p>
        </w:tc>
      </w:tr>
      <w:tr>
        <w:tc>
          <w:tcPr/>
          <w:p>
            <w:pPr>
              <w:pStyle w:val="Compact"/>
              <w:jc w:val="left"/>
            </w:pPr>
            <w:r>
              <w:t xml:space="preserve">Subtotal after Discount (COP)</w:t>
            </w:r>
          </w:p>
        </w:tc>
        <w:tc>
          <w:tcPr/>
          <w:p>
            <w:pPr>
              <w:pStyle w:val="Compact"/>
              <w:jc w:val="right"/>
            </w:pPr>
            <w:r>
              <w:rPr>
                <w:bCs/>
                <w:b/>
              </w:rPr>
              <w:t xml:space="preserve">12,213,200</w:t>
            </w:r>
          </w:p>
        </w:tc>
      </w:tr>
      <w:tr>
        <w:tc>
          <w:tcPr/>
          <w:p>
            <w:pPr>
              <w:pStyle w:val="Compact"/>
              <w:jc w:val="left"/>
            </w:pPr>
            <w:r>
              <w:t xml:space="preserve">IVA – Value Added Tax (19%)</w:t>
            </w:r>
          </w:p>
        </w:tc>
        <w:tc>
          <w:tcPr/>
          <w:p>
            <w:pPr>
              <w:pStyle w:val="Compact"/>
              <w:jc w:val="right"/>
            </w:pPr>
            <w:r>
              <w:t xml:space="preserve">2,320,508</w:t>
            </w:r>
          </w:p>
        </w:tc>
      </w:tr>
      <w:tr>
        <w:tc>
          <w:tcPr/>
          <w:p>
            <w:pPr>
              <w:pStyle w:val="Compact"/>
              <w:jc w:val="left"/>
            </w:pPr>
            <w:r>
              <w:t xml:space="preserve">TOTAL INVOICE (COP)</w:t>
            </w:r>
          </w:p>
        </w:tc>
        <w:tc>
          <w:tcPr/>
          <w:p>
            <w:pPr>
              <w:pStyle w:val="Compact"/>
              <w:jc w:val="right"/>
            </w:pPr>
            <w:r>
              <w:t xml:space="preserve">14,533,708</w:t>
            </w:r>
          </w:p>
        </w:tc>
      </w:tr>
    </w:tbl>
    <w:bookmarkStart w:id="24" w:name="notes-important-information"/>
    <w:p>
      <w:pPr>
        <w:pStyle w:val="Heading3"/>
      </w:pPr>
      <w:r>
        <w:t xml:space="preserve">Notes &amp; Important Information</w:t>
      </w:r>
    </w:p>
    <w:p>
      <w:pPr>
        <w:pStyle w:val="FirstParagraph"/>
      </w:pPr>
      <w:r>
        <w:rPr>
          <w:bCs/>
          <w:b/>
        </w:rPr>
        <w:t xml:space="preserve">1.</w:t>
      </w:r>
      <w:r>
        <w:t xml:space="preserve"> </w:t>
      </w:r>
      <w:r>
        <w:t xml:space="preserve">This Invoice has been issued by Química Bogotá Chemist, a registered pharmacy and pharmaceutical distribution company operating in Bogotá, Colombia, in full compliance with the regulations established by INVIMA (Instituto Nacional de Vigilancia de Medicamentos y Alimentos) and the DIAN (Dirección de Impuestos y Aduanas Nacionales).</w:t>
      </w:r>
    </w:p>
    <w:p>
      <w:pPr>
        <w:pStyle w:val="BodyText"/>
      </w:pPr>
      <w:r>
        <w:rPr>
          <w:bCs/>
          <w:b/>
        </w:rPr>
        <w:t xml:space="preserve">2.</w:t>
      </w:r>
      <w:r>
        <w:t xml:space="preserve"> </w:t>
      </w:r>
      <w:r>
        <w:t xml:space="preserve">All pharmaceutical products listed in this Invoice are subject to the applicable Colombian health regulations. Prescription medications (items 1 and 3) require valid medical prescriptions issued by licensed physicians registered in Colombia. The Chemist reserves the right to verify prescription validity prior to dispensing.</w:t>
      </w:r>
    </w:p>
    <w:p>
      <w:pPr>
        <w:pStyle w:val="BodyText"/>
      </w:pPr>
      <w:r>
        <w:rPr>
          <w:bCs/>
          <w:b/>
        </w:rPr>
        <w:t xml:space="preserve">3.</w:t>
      </w:r>
      <w:r>
        <w:t xml:space="preserve"> </w:t>
      </w:r>
      <w:r>
        <w:t xml:space="preserve">Cold chain products (Insulin Glargine) must be stored between 2°C and 8°C at all times. The Chemist guarantees temperature-controlled storage and transport within the Bogotá D.C. metropolitan area. Any deviation from the required temperature range must be reported within 24 hours of delivery.</w:t>
      </w:r>
    </w:p>
    <w:p>
      <w:pPr>
        <w:pStyle w:val="BodyText"/>
      </w:pPr>
      <w:r>
        <w:rPr>
          <w:bCs/>
          <w:b/>
        </w:rPr>
        <w:t xml:space="preserve">4.</w:t>
      </w:r>
      <w:r>
        <w:t xml:space="preserve"> </w:t>
      </w:r>
      <w:r>
        <w:t xml:space="preserve">Payment is due within fifteen (15) calendar days from the date of this Invoice. Late payments will be subject to the statutory interest rate established by the Colombian Central Bank (Banco de la República) for the applicable period.</w:t>
      </w:r>
    </w:p>
    <w:p>
      <w:pPr>
        <w:pStyle w:val="BodyText"/>
      </w:pPr>
      <w:r>
        <w:rPr>
          <w:bCs/>
          <w:b/>
        </w:rPr>
        <w:t xml:space="preserve">5.</w:t>
      </w:r>
      <w:r>
        <w:t xml:space="preserve"> </w:t>
      </w:r>
      <w:r>
        <w:t xml:space="preserve">This Invoice is valid for a period of thirty (30) days from the issue date. After this period, the Chemist reserves the right to adjust pricing based on current market conditions and supplier cost changes in Colombia.</w:t>
      </w:r>
    </w:p>
    <w:p>
      <w:pPr>
        <w:pStyle w:val="BodyText"/>
      </w:pPr>
      <w:r>
        <w:rPr>
          <w:bCs/>
          <w:b/>
        </w:rPr>
        <w:t xml:space="preserve">6.</w:t>
      </w:r>
      <w:r>
        <w:t xml:space="preserve"> </w:t>
      </w:r>
      <w:r>
        <w:t xml:space="preserve">Returns of pharmaceutical products are only accepted if the product is unopened, within its expiration date, and accompanied by the original Invoice. Per Colombian consumer protection law (Ley 1480 de 2011), the Chemist will process returns within ten (10) business days.</w:t>
      </w:r>
    </w:p>
    <w:p>
      <w:pPr>
        <w:pStyle w:val="BodyText"/>
      </w:pPr>
      <w:r>
        <w:rPr>
          <w:bCs/>
          <w:b/>
        </w:rPr>
        <w:t xml:space="preserve">7.</w:t>
      </w:r>
      <w:r>
        <w:t xml:space="preserve"> </w:t>
      </w:r>
      <w:r>
        <w:t xml:space="preserve">This document serves as the official Invoice for tax purposes in Colombia. It must be retained by the buyer for a minimum of five (5) years in accordance with Colombian tax law (Estatuto Tributario, Article 614).</w:t>
      </w:r>
    </w:p>
    <w:bookmarkEnd w:id="24"/>
    <w:p>
      <w:pPr>
        <w:pStyle w:val="BodyText"/>
      </w:pPr>
      <w:r>
        <w:rPr>
          <w:bCs/>
          <w:b/>
        </w:rPr>
        <w:t xml:space="preserve">Legal Notice:</w:t>
      </w:r>
      <w:r>
        <w:t xml:space="preserve"> </w:t>
      </w:r>
      <w:r>
        <w:t xml:space="preserve">Química Bogotá Chemist, NIT 901.234.567-8, is a legally registered entity in Colombia, Bogotá D.C., authorized to dispense and distribute pharmaceutical products. This Invoice is issued under the electronic invoicing system (Facturación Electrónica) as required by Resolution 000042 of 2023 from the DIAN. The document has been validated through the DIAN electronic invoicing platform and carries a unique validation code (CUFE): 001-901234567-8-004872-20250612-001.</w:t>
      </w:r>
    </w:p>
    <w:p>
      <w:pPr>
        <w:pStyle w:val="BodyText"/>
      </w:pPr>
      <w:r>
        <w:rPr>
          <w:bCs/>
          <w:b/>
        </w:rPr>
        <w:t xml:space="preserve">Chemist License:</w:t>
      </w:r>
      <w:r>
        <w:t xml:space="preserve"> </w:t>
      </w:r>
      <w:r>
        <w:t xml:space="preserve">Pharmacy Operation License No. INVIMA-BOG-2024-00891, valid through December 31, 2026. Responsible Pharmacist: Farm. Carolina Méndez, Registration No. 12345678.</w:t>
      </w:r>
    </w:p>
    <w:p>
      <w:pPr>
        <w:pStyle w:val="BodyText"/>
      </w:pPr>
      <w:r>
        <w:rPr>
          <w:bCs/>
          <w:b/>
        </w:rPr>
        <w:t xml:space="preserve">Dispute Resolution:</w:t>
      </w:r>
      <w:r>
        <w:t xml:space="preserve"> </w:t>
      </w:r>
      <w:r>
        <w:t xml:space="preserve">Any disputes arising from this Invoice shall be resolved through the competent commercial courts of Bogotá, Colombia, in accordance with Colombian civil and commercial law.</w:t>
      </w:r>
    </w:p>
    <w:p>
      <w:pPr>
        <w:pStyle w:val="BodyText"/>
      </w:pPr>
      <w:r>
        <w:rPr>
          <w:bCs/>
          <w:b/>
        </w:rPr>
        <w:t xml:space="preserve">Química Bogotá Chemist</w:t>
      </w:r>
      <w:r>
        <w:t xml:space="preserve"> </w:t>
      </w:r>
      <w:r>
        <w:t xml:space="preserve">– Your trusted pharmacy partner in Colombia Bogotá</w:t>
      </w:r>
    </w:p>
    <w:p>
      <w:pPr>
        <w:pStyle w:val="BodyText"/>
      </w:pPr>
      <w:r>
        <w:t xml:space="preserve">Carrera 15 # 85-42, Piso 3, Chapinero, Bogotá D.C., Colombia | Tel: +57 (601) 555 7842</w:t>
      </w:r>
    </w:p>
    <w:p>
      <w:pPr>
        <w:pStyle w:val="BodyText"/>
      </w:pPr>
      <w:r>
        <w:t xml:space="preserve">Thank you for choosing our Chemist services. We are committed to providing the highest quality pharmaceutical products and professional care in Bogotá, Colombia.</w:t>
      </w:r>
    </w:p>
    <w:p>
      <w:pPr>
        <w:pStyle w:val="BodyText"/>
      </w:pPr>
      <w:r>
        <w:t xml:space="preserve">This Invoice was generated electronically on June 12, 2025. Document ID: QB-2025-004872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Quimica Bogotá Chemist</dc:title>
  <dc:creator/>
  <dc:language>en</dc:language>
  <cp:keywords/>
  <dcterms:created xsi:type="dcterms:W3CDTF">2026-10-10T08:36:15Z</dcterms:created>
  <dcterms:modified xsi:type="dcterms:W3CDTF">2026-10-10T08:36:15Z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