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Nile</w:t>
      </w:r>
      <w:r>
        <w:t xml:space="preserve"> </w:t>
      </w:r>
      <w:r>
        <w:t xml:space="preserve">Chemist,</w:t>
      </w:r>
      <w:r>
        <w:t xml:space="preserve"> </w:t>
      </w:r>
      <w:r>
        <w:t xml:space="preserve">Egypt</w:t>
      </w:r>
      <w:r>
        <w:t xml:space="preserve"> </w:t>
      </w:r>
      <w:r>
        <w:t xml:space="preserve">Cairo</w:t>
      </w:r>
    </w:p>
    <w:bookmarkStart w:id="20" w:name="nile-chemist-pharmacy"/>
    <w:p>
      <w:pPr>
        <w:pStyle w:val="Heading1"/>
      </w:pPr>
      <w:r>
        <w:t xml:space="preserve">Nile Chemist &amp; Pharmacy</w:t>
      </w:r>
    </w:p>
    <w:p>
      <w:pPr>
        <w:pStyle w:val="FirstParagraph"/>
      </w:pPr>
      <w:r>
        <w:t xml:space="preserve">127 El Tahrir Street, Downtown District</w:t>
      </w:r>
    </w:p>
    <w:p>
      <w:pPr>
        <w:pStyle w:val="BodyText"/>
      </w:pPr>
      <w:r>
        <w:t xml:space="preserve">Cairo, Egypt 11511</w:t>
      </w:r>
    </w:p>
    <w:p>
      <w:pPr>
        <w:pStyle w:val="BodyText"/>
      </w:pPr>
      <w:r>
        <w:t xml:space="preserve">Tel: +20 2 2578 4432 | Fax: +20 2 2578 4433</w:t>
      </w:r>
    </w:p>
    <w:p>
      <w:pPr>
        <w:pStyle w:val="BodyText"/>
      </w:pPr>
      <w:r>
        <w:t xml:space="preserve">Email: billing@nilechemist-cairo.com</w:t>
      </w:r>
    </w:p>
    <w:p>
      <w:pPr>
        <w:pStyle w:val="BodyText"/>
      </w:pPr>
      <w:r>
        <w:t xml:space="preserve">Commercial Registration No: 114-782-3356</w:t>
      </w:r>
    </w:p>
    <w:p>
      <w:pPr>
        <w:pStyle w:val="BodyText"/>
      </w:pPr>
      <w:r>
        <w:t xml:space="preserve">VAT Registration No: EG-552-881-447-001</w:t>
      </w:r>
    </w:p>
    <w:p>
      <w:pPr>
        <w:pStyle w:val="BodyText"/>
      </w:pPr>
      <w:r>
        <w:t xml:space="preserve">Pharmacy License No: CAIRO-PH-2019-00482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NC-2025-04871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29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Egyptian Pound (EGP)</w:t>
      </w:r>
    </w:p>
    <w:bookmarkEnd w:id="21"/>
    <w:bookmarkStart w:id="22" w:name="billed-to"/>
    <w:p>
      <w:pPr>
        <w:pStyle w:val="Heading3"/>
      </w:pPr>
      <w:r>
        <w:t xml:space="preserve">Billed To</w:t>
      </w:r>
    </w:p>
    <w:p>
      <w:pPr>
        <w:pStyle w:val="FirstParagraph"/>
      </w:pPr>
      <w:r>
        <w:rPr>
          <w:bCs/>
          <w:b/>
        </w:rPr>
        <w:t xml:space="preserve">Al-Ahli Medical Supplies Co.</w:t>
      </w:r>
    </w:p>
    <w:p>
      <w:pPr>
        <w:pStyle w:val="BodyText"/>
      </w:pPr>
      <w:r>
        <w:t xml:space="preserve">45 Abbas El Aqqad Street</w:t>
      </w:r>
    </w:p>
    <w:p>
      <w:pPr>
        <w:pStyle w:val="BodyText"/>
      </w:pPr>
      <w:r>
        <w:t xml:space="preserve">Zamalek, Cairo, Egypt 11511</w:t>
      </w:r>
    </w:p>
    <w:p>
      <w:pPr>
        <w:pStyle w:val="BodyText"/>
      </w:pPr>
      <w:r>
        <w:t xml:space="preserve">Tax ID: EG-334-112-998-002</w:t>
      </w:r>
    </w:p>
    <w:p>
      <w:pPr>
        <w:pStyle w:val="BodyText"/>
      </w:pPr>
      <w:r>
        <w:t xml:space="preserve">Contact: Mr. Hassan El-Sayed</w:t>
      </w:r>
    </w:p>
    <w:p>
      <w:pPr>
        <w:pStyle w:val="BodyText"/>
      </w:pPr>
      <w:r>
        <w:t xml:space="preserve">Phone: +20 100 556 7789</w:t>
      </w:r>
    </w:p>
    <w:bookmarkEnd w:id="22"/>
    <w:bookmarkStart w:id="23" w:name="shipped-to"/>
    <w:p>
      <w:pPr>
        <w:pStyle w:val="Heading3"/>
      </w:pPr>
      <w:r>
        <w:t xml:space="preserve">Shipped To</w:t>
      </w:r>
    </w:p>
    <w:p>
      <w:pPr>
        <w:pStyle w:val="FirstParagraph"/>
      </w:pPr>
      <w:r>
        <w:rPr>
          <w:bCs/>
          <w:b/>
        </w:rPr>
        <w:t xml:space="preserve">Al-Ahli Medical Supplies Warehouse</w:t>
      </w:r>
    </w:p>
    <w:p>
      <w:pPr>
        <w:pStyle w:val="BodyText"/>
      </w:pPr>
      <w:r>
        <w:t xml:space="preserve">Industrial Zone, 10th of Ramadan City</w:t>
      </w:r>
    </w:p>
    <w:p>
      <w:pPr>
        <w:pStyle w:val="BodyText"/>
      </w:pPr>
      <w:r>
        <w:t xml:space="preserve">Sharqia Governorate, Egypt 15288</w:t>
      </w:r>
    </w:p>
    <w:p>
      <w:pPr>
        <w:pStyle w:val="BodyText"/>
      </w:pPr>
      <w:r>
        <w:t xml:space="preserve">Attn: Logistics Manager</w:t>
      </w:r>
    </w:p>
    <w:p>
      <w:pPr>
        <w:pStyle w:val="BodyText"/>
      </w:pPr>
      <w:r>
        <w:t xml:space="preserve">Phone: +20 111 223 4455</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Batch / Lot No.</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Amount (EGP)</w:t>
            </w:r>
          </w:p>
        </w:tc>
        <w:tc>
          <w:tcPr/>
          <w:p>
            <w:pPr>
              <w:pStyle w:val="Compact"/>
              <w:jc w:val="left"/>
            </w:pPr>
            <w:r>
              <w:t xml:space="preserve">Expiry Date</w:t>
            </w:r>
          </w:p>
        </w:tc>
      </w:tr>
      <w:tr>
        <w:tc>
          <w:tcPr/>
          <w:p>
            <w:pPr>
              <w:pStyle w:val="Compact"/>
              <w:jc w:val="left"/>
            </w:pPr>
            <w:r>
              <w:t xml:space="preserve">01</w:t>
            </w:r>
          </w:p>
        </w:tc>
        <w:tc>
          <w:tcPr/>
          <w:p>
            <w:pPr>
              <w:pStyle w:val="Compact"/>
              <w:jc w:val="left"/>
            </w:pPr>
            <w:r>
              <w:t xml:space="preserve">Amoxicillin 500mg Capsules – 24 capsules per strip (Prescription Dispensed)</w:t>
            </w:r>
          </w:p>
        </w:tc>
        <w:tc>
          <w:tcPr/>
          <w:p>
            <w:pPr>
              <w:pStyle w:val="Compact"/>
              <w:jc w:val="left"/>
            </w:pPr>
            <w:r>
              <w:t xml:space="preserve">AMX-2025-0341</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08/2027</w:t>
            </w:r>
          </w:p>
        </w:tc>
      </w:tr>
      <w:tr>
        <w:tc>
          <w:tcPr/>
          <w:p>
            <w:pPr>
              <w:pStyle w:val="Compact"/>
              <w:jc w:val="left"/>
            </w:pPr>
            <w:r>
              <w:t xml:space="preserve">02</w:t>
            </w:r>
          </w:p>
        </w:tc>
        <w:tc>
          <w:tcPr/>
          <w:p>
            <w:pPr>
              <w:pStyle w:val="Compact"/>
              <w:jc w:val="left"/>
            </w:pPr>
            <w:r>
              <w:t xml:space="preserve">Ibuprofen 400mg Tablets – 30 tablets per blister (OTC Supply)</w:t>
            </w:r>
          </w:p>
        </w:tc>
        <w:tc>
          <w:tcPr/>
          <w:p>
            <w:pPr>
              <w:pStyle w:val="Compact"/>
              <w:jc w:val="left"/>
            </w:pPr>
            <w:r>
              <w:t xml:space="preserve">IBU-2025-1187</w:t>
            </w:r>
          </w:p>
        </w:tc>
        <w:tc>
          <w:tcPr/>
          <w:p>
            <w:pPr>
              <w:pStyle w:val="Compact"/>
              <w:jc w:val="left"/>
            </w:pPr>
            <w:r>
              <w:t xml:space="preserve">200</w:t>
            </w:r>
          </w:p>
        </w:tc>
        <w:tc>
          <w:tcPr/>
          <w:p>
            <w:pPr>
              <w:pStyle w:val="Compact"/>
              <w:jc w:val="left"/>
            </w:pPr>
            <w:r>
              <w:t xml:space="preserve">42.50</w:t>
            </w:r>
          </w:p>
        </w:tc>
        <w:tc>
          <w:tcPr/>
          <w:p>
            <w:pPr>
              <w:pStyle w:val="Compact"/>
              <w:jc w:val="left"/>
            </w:pPr>
            <w:r>
              <w:t xml:space="preserve">8,500.00</w:t>
            </w:r>
          </w:p>
        </w:tc>
        <w:tc>
          <w:tcPr/>
          <w:p>
            <w:pPr>
              <w:pStyle w:val="Compact"/>
              <w:jc w:val="left"/>
            </w:pPr>
            <w:r>
              <w:t xml:space="preserve">03/2027</w:t>
            </w:r>
          </w:p>
        </w:tc>
      </w:tr>
      <w:tr>
        <w:tc>
          <w:tcPr/>
          <w:p>
            <w:pPr>
              <w:pStyle w:val="Compact"/>
              <w:jc w:val="left"/>
            </w:pPr>
            <w:r>
              <w:t xml:space="preserve">03</w:t>
            </w:r>
          </w:p>
        </w:tc>
        <w:tc>
          <w:tcPr/>
          <w:p>
            <w:pPr>
              <w:pStyle w:val="Compact"/>
              <w:jc w:val="left"/>
            </w:pPr>
            <w:r>
              <w:t xml:space="preserve">Metformin HCl 850mg Tablets – 60 tablets per bottle (Chronic Care Supply)</w:t>
            </w:r>
          </w:p>
        </w:tc>
        <w:tc>
          <w:tcPr/>
          <w:p>
            <w:pPr>
              <w:pStyle w:val="Compact"/>
              <w:jc w:val="left"/>
            </w:pPr>
            <w:r>
              <w:t xml:space="preserve">MET-2025-0762</w:t>
            </w:r>
          </w:p>
        </w:tc>
        <w:tc>
          <w:tcPr/>
          <w:p>
            <w:pPr>
              <w:pStyle w:val="Compact"/>
              <w:jc w:val="left"/>
            </w:pPr>
            <w:r>
              <w:t xml:space="preserve">80</w:t>
            </w:r>
          </w:p>
        </w:tc>
        <w:tc>
          <w:tcPr/>
          <w:p>
            <w:pPr>
              <w:pStyle w:val="Compact"/>
              <w:jc w:val="left"/>
            </w:pPr>
            <w:r>
              <w:t xml:space="preserve">110.00</w:t>
            </w:r>
          </w:p>
        </w:tc>
        <w:tc>
          <w:tcPr/>
          <w:p>
            <w:pPr>
              <w:pStyle w:val="Compact"/>
              <w:jc w:val="left"/>
            </w:pPr>
            <w:r>
              <w:t xml:space="preserve">8,800.00</w:t>
            </w:r>
          </w:p>
        </w:tc>
        <w:tc>
          <w:tcPr/>
          <w:p>
            <w:pPr>
              <w:pStyle w:val="Compact"/>
              <w:jc w:val="left"/>
            </w:pPr>
            <w:r>
              <w:t xml:space="preserve">11/2026</w:t>
            </w:r>
          </w:p>
        </w:tc>
      </w:tr>
      <w:tr>
        <w:tc>
          <w:tcPr/>
          <w:p>
            <w:pPr>
              <w:pStyle w:val="Compact"/>
              <w:jc w:val="left"/>
            </w:pPr>
            <w:r>
              <w:t xml:space="preserve">04</w:t>
            </w:r>
          </w:p>
        </w:tc>
        <w:tc>
          <w:tcPr/>
          <w:p>
            <w:pPr>
              <w:pStyle w:val="Compact"/>
              <w:jc w:val="left"/>
            </w:pPr>
            <w:r>
              <w:t xml:space="preserve">Salbutamol Inhaler 100mcg – 200 doses per unit (Respiratory Care)</w:t>
            </w:r>
          </w:p>
        </w:tc>
        <w:tc>
          <w:tcPr/>
          <w:p>
            <w:pPr>
              <w:pStyle w:val="Compact"/>
              <w:jc w:val="left"/>
            </w:pPr>
            <w:r>
              <w:t xml:space="preserve">SAL-2025-0455</w:t>
            </w:r>
          </w:p>
        </w:tc>
        <w:tc>
          <w:tcPr/>
          <w:p>
            <w:pPr>
              <w:pStyle w:val="Compact"/>
              <w:jc w:val="left"/>
            </w:pPr>
            <w:r>
              <w:t xml:space="preserve">60</w:t>
            </w:r>
          </w:p>
        </w:tc>
        <w:tc>
          <w:tcPr/>
          <w:p>
            <w:pPr>
              <w:pStyle w:val="Compact"/>
              <w:jc w:val="left"/>
            </w:pPr>
            <w:r>
              <w:t xml:space="preserve">275.00</w:t>
            </w:r>
          </w:p>
        </w:tc>
        <w:tc>
          <w:tcPr/>
          <w:p>
            <w:pPr>
              <w:pStyle w:val="Compact"/>
              <w:jc w:val="left"/>
            </w:pPr>
            <w:r>
              <w:t xml:space="preserve">16,500.00</w:t>
            </w:r>
          </w:p>
        </w:tc>
        <w:tc>
          <w:tcPr/>
          <w:p>
            <w:pPr>
              <w:pStyle w:val="Compact"/>
              <w:jc w:val="left"/>
            </w:pPr>
            <w:r>
              <w:t xml:space="preserve">06/2027</w:t>
            </w:r>
          </w:p>
        </w:tc>
      </w:tr>
      <w:tr>
        <w:tc>
          <w:tcPr/>
          <w:p>
            <w:pPr>
              <w:pStyle w:val="Compact"/>
              <w:jc w:val="left"/>
            </w:pPr>
            <w:r>
              <w:t xml:space="preserve">05</w:t>
            </w:r>
          </w:p>
        </w:tc>
        <w:tc>
          <w:tcPr/>
          <w:p>
            <w:pPr>
              <w:pStyle w:val="Compact"/>
              <w:jc w:val="left"/>
            </w:pPr>
            <w:r>
              <w:t xml:space="preserve">Normal Saline 0.9% IV Infusion Bags – 500ml (Hospital-Grade)</w:t>
            </w:r>
          </w:p>
        </w:tc>
        <w:tc>
          <w:tcPr/>
          <w:p>
            <w:pPr>
              <w:pStyle w:val="Compact"/>
              <w:jc w:val="left"/>
            </w:pPr>
            <w:r>
              <w:t xml:space="preserve">NSL-2025-2201</w:t>
            </w:r>
          </w:p>
        </w:tc>
        <w:tc>
          <w:tcPr/>
          <w:p>
            <w:pPr>
              <w:pStyle w:val="Compact"/>
              <w:jc w:val="left"/>
            </w:pPr>
            <w:r>
              <w:t xml:space="preserve">150</w:t>
            </w:r>
          </w:p>
        </w:tc>
        <w:tc>
          <w:tcPr/>
          <w:p>
            <w:pPr>
              <w:pStyle w:val="Compact"/>
              <w:jc w:val="left"/>
            </w:pPr>
            <w:r>
              <w:t xml:space="preserve">38.00</w:t>
            </w:r>
          </w:p>
        </w:tc>
        <w:tc>
          <w:tcPr/>
          <w:p>
            <w:pPr>
              <w:pStyle w:val="Compact"/>
              <w:jc w:val="left"/>
            </w:pPr>
            <w:r>
              <w:t xml:space="preserve">5,700.00</w:t>
            </w:r>
          </w:p>
        </w:tc>
        <w:tc>
          <w:tcPr/>
          <w:p>
            <w:pPr>
              <w:pStyle w:val="Compact"/>
              <w:jc w:val="left"/>
            </w:pPr>
            <w:r>
              <w:t xml:space="preserve">01/2027</w:t>
            </w:r>
          </w:p>
        </w:tc>
      </w:tr>
      <w:tr>
        <w:tc>
          <w:tcPr/>
          <w:p>
            <w:pPr>
              <w:pStyle w:val="Compact"/>
              <w:jc w:val="left"/>
            </w:pPr>
            <w:r>
              <w:t xml:space="preserve">06</w:t>
            </w:r>
          </w:p>
        </w:tc>
        <w:tc>
          <w:tcPr/>
          <w:p>
            <w:pPr>
              <w:pStyle w:val="Compact"/>
              <w:jc w:val="left"/>
            </w:pPr>
            <w:r>
              <w:t xml:space="preserve">Pharmaceutical Compounding Service – Custom Pediatric Syrup Formulation</w:t>
            </w:r>
          </w:p>
        </w:tc>
        <w:tc>
          <w:tcPr/>
          <w:p>
            <w:pPr>
              <w:pStyle w:val="Compact"/>
              <w:jc w:val="left"/>
            </w:pPr>
            <w:r>
              <w:t xml:space="preserve">—</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w:t>
            </w:r>
          </w:p>
        </w:tc>
      </w:tr>
      <w:tr>
        <w:tc>
          <w:tcPr/>
          <w:p>
            <w:pPr>
              <w:pStyle w:val="Compact"/>
              <w:jc w:val="left"/>
            </w:pPr>
            <w:r>
              <w:t xml:space="preserve">07</w:t>
            </w:r>
          </w:p>
        </w:tc>
        <w:tc>
          <w:tcPr/>
          <w:p>
            <w:pPr>
              <w:pStyle w:val="Compact"/>
              <w:jc w:val="left"/>
            </w:pPr>
            <w:r>
              <w:t xml:space="preserve">Pharmacist Consultation &amp; Medication Review Service (In-Store, Cairo Branch)</w:t>
            </w:r>
          </w:p>
        </w:tc>
        <w:tc>
          <w:tcPr/>
          <w:p>
            <w:pPr>
              <w:pStyle w:val="Compact"/>
              <w:jc w:val="left"/>
            </w:pPr>
            <w:r>
              <w:t xml:space="preserv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w:t>
            </w:r>
          </w:p>
        </w:tc>
      </w:tr>
      <w:tr>
        <w:tc>
          <w:tcPr/>
          <w:p>
            <w:pPr>
              <w:pStyle w:val="Compact"/>
              <w:jc w:val="left"/>
            </w:pPr>
            <w:r>
              <w:t xml:space="preserve">08</w:t>
            </w:r>
          </w:p>
        </w:tc>
        <w:tc>
          <w:tcPr/>
          <w:p>
            <w:pPr>
              <w:pStyle w:val="Compact"/>
              <w:jc w:val="left"/>
            </w:pPr>
            <w:r>
              <w:t xml:space="preserve">Refrigerated Cold-Chain Delivery within Greater Cairo Metro Area</w:t>
            </w:r>
          </w:p>
        </w:tc>
        <w:tc>
          <w:tcPr/>
          <w:p>
            <w:pPr>
              <w:pStyle w:val="Compact"/>
              <w:jc w:val="left"/>
            </w:pPr>
            <w:r>
              <w:t xml:space="preserve">—</w:t>
            </w:r>
          </w:p>
        </w:tc>
        <w:tc>
          <w:tcPr/>
          <w:p>
            <w:pPr>
              <w:pStyle w:val="Compact"/>
              <w:jc w:val="left"/>
            </w:pPr>
            <w:r>
              <w:t xml:space="preserve">1</w:t>
            </w:r>
          </w:p>
        </w:tc>
        <w:tc>
          <w:tcPr/>
          <w:p>
            <w:pPr>
              <w:pStyle w:val="Compact"/>
              <w:jc w:val="left"/>
            </w:pPr>
            <w:r>
              <w:t xml:space="preserve">480.00</w:t>
            </w:r>
          </w:p>
        </w:tc>
        <w:tc>
          <w:tcPr/>
          <w:p>
            <w:pPr>
              <w:pStyle w:val="Compact"/>
              <w:jc w:val="left"/>
            </w:pPr>
            <w:r>
              <w:t xml:space="preserve">480.00</w:t>
            </w:r>
          </w:p>
        </w:tc>
        <w:tc>
          <w:tcPr/>
          <w:p>
            <w:pPr>
              <w:pStyle w:val="Compact"/>
              <w:jc w:val="left"/>
            </w:pPr>
            <w:r>
              <w:t xml:space="preserv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51,780.00 EGP</w:t>
            </w:r>
          </w:p>
        </w:tc>
      </w:tr>
      <w:tr>
        <w:tc>
          <w:tcPr/>
          <w:p>
            <w:pPr>
              <w:pStyle w:val="Compact"/>
              <w:jc w:val="left"/>
            </w:pPr>
            <w:r>
              <w:t xml:space="preserve">VAT @ 14% (Egyptian Value Added Tax)</w:t>
            </w:r>
          </w:p>
        </w:tc>
        <w:tc>
          <w:tcPr/>
          <w:p>
            <w:pPr>
              <w:pStyle w:val="Compact"/>
              <w:jc w:val="left"/>
            </w:pPr>
            <w:r>
              <w:t xml:space="preserve">7,249.20 EGP</w:t>
            </w:r>
          </w:p>
        </w:tc>
      </w:tr>
      <w:tr>
        <w:tc>
          <w:tcPr/>
          <w:p>
            <w:pPr>
              <w:pStyle w:val="Compact"/>
              <w:jc w:val="left"/>
            </w:pPr>
            <w:r>
              <w:t xml:space="preserve">Discount (Bulk Order – 2%)</w:t>
            </w:r>
          </w:p>
        </w:tc>
        <w:tc>
          <w:tcPr/>
          <w:p>
            <w:pPr>
              <w:pStyle w:val="Compact"/>
              <w:jc w:val="left"/>
            </w:pPr>
            <w:r>
              <w:t xml:space="preserve">-1,035.60 EGP</w:t>
            </w:r>
          </w:p>
        </w:tc>
      </w:tr>
      <w:tr>
        <w:tc>
          <w:tcPr/>
          <w:p>
            <w:pPr>
              <w:pStyle w:val="Compact"/>
              <w:jc w:val="left"/>
            </w:pPr>
            <w:r>
              <w:t xml:space="preserve">Grand Total Due</w:t>
            </w:r>
          </w:p>
        </w:tc>
        <w:tc>
          <w:tcPr/>
          <w:p>
            <w:pPr>
              <w:pStyle w:val="Compact"/>
              <w:jc w:val="left"/>
            </w:pPr>
            <w:r>
              <w:t xml:space="preserve">57,993.60 EGP</w:t>
            </w:r>
          </w:p>
        </w:tc>
      </w:tr>
    </w:tbl>
    <w:bookmarkStart w:id="24" w:name="payment-instructions"/>
    <w:p>
      <w:pPr>
        <w:pStyle w:val="Heading3"/>
      </w:pPr>
      <w:r>
        <w:t xml:space="preserve">Payment Instructions</w:t>
      </w:r>
    </w:p>
    <w:p>
      <w:pPr>
        <w:pStyle w:val="FirstParagraph"/>
      </w:pPr>
      <w:r>
        <w:t xml:space="preserve">This Invoice must be settled within fifteen (15) calendar days from the Invoice Date of 14 June 2025. Payment may be made via bank transfer to the following account:</w:t>
      </w:r>
    </w:p>
    <w:p>
      <w:pPr>
        <w:pStyle w:val="BodyText"/>
      </w:pPr>
      <w:r>
        <w:rPr>
          <w:bCs/>
          <w:b/>
        </w:rPr>
        <w:t xml:space="preserve">Bank:</w:t>
      </w:r>
      <w:r>
        <w:t xml:space="preserve"> </w:t>
      </w:r>
      <w:r>
        <w:t xml:space="preserve">National Bank of Egypt – Cairo Main Branch</w:t>
      </w:r>
    </w:p>
    <w:p>
      <w:pPr>
        <w:pStyle w:val="BodyText"/>
      </w:pPr>
      <w:r>
        <w:rPr>
          <w:bCs/>
          <w:b/>
        </w:rPr>
        <w:t xml:space="preserve">Account Name:</w:t>
      </w:r>
      <w:r>
        <w:t xml:space="preserve"> </w:t>
      </w:r>
      <w:r>
        <w:t xml:space="preserve">Nile Chemist &amp; Pharmacy</w:t>
      </w:r>
    </w:p>
    <w:p>
      <w:pPr>
        <w:pStyle w:val="BodyText"/>
      </w:pPr>
      <w:r>
        <w:rPr>
          <w:bCs/>
          <w:b/>
        </w:rPr>
        <w:t xml:space="preserve">IBAN:</w:t>
      </w:r>
      <w:r>
        <w:t xml:space="preserve"> </w:t>
      </w:r>
      <w:r>
        <w:t xml:space="preserve">EG38 NBEK 0000 1099 4455 6677 8899</w:t>
      </w:r>
    </w:p>
    <w:p>
      <w:pPr>
        <w:pStyle w:val="BodyText"/>
      </w:pPr>
      <w:r>
        <w:rPr>
          <w:bCs/>
          <w:b/>
        </w:rPr>
        <w:t xml:space="preserve">SWIFT Code:</w:t>
      </w:r>
      <w:r>
        <w:t xml:space="preserve"> </w:t>
      </w:r>
      <w:r>
        <w:t xml:space="preserve">NBEKEGCAXXX</w:t>
      </w:r>
    </w:p>
    <w:p>
      <w:pPr>
        <w:pStyle w:val="BodyText"/>
      </w:pPr>
      <w:r>
        <w:t xml:space="preserve">Please reference Invoice Number</w:t>
      </w:r>
      <w:r>
        <w:t xml:space="preserve"> </w:t>
      </w:r>
      <w:r>
        <w:rPr>
          <w:bCs/>
          <w:b/>
        </w:rPr>
        <w:t xml:space="preserve">NC-2025-04871</w:t>
      </w:r>
      <w:r>
        <w:t xml:space="preserve"> </w:t>
      </w:r>
      <w:r>
        <w:t xml:space="preserve">in all payment communications. Late payments are subject to a penalty of 2% per month in accordance with Egyptian Commercial Law (Law No. 17 of 1999).</w:t>
      </w:r>
    </w:p>
    <w:bookmarkEnd w:id="24"/>
    <w:bookmarkStart w:id="25" w:name="important-notes-terms"/>
    <w:p>
      <w:pPr>
        <w:pStyle w:val="Heading3"/>
      </w:pPr>
      <w:r>
        <w:t xml:space="preserve">Important Notes &amp; Terms</w:t>
      </w:r>
    </w:p>
    <w:p>
      <w:pPr>
        <w:pStyle w:val="FirstParagraph"/>
      </w:pPr>
      <w:r>
        <w:t xml:space="preserve">1. All pharmaceutical products listed on this Invoice have been sourced from licensed Egyptian and international manufacturers and comply with the Egyptian Drug Authority (EDA) regulations.</w:t>
      </w:r>
    </w:p>
    <w:p>
      <w:pPr>
        <w:pStyle w:val="BodyText"/>
      </w:pPr>
      <w:r>
        <w:t xml:space="preserve">2. Prescription medications (Items 01, 03, 04) were dispensed in accordance with valid prescriptions issued by registered physicians in Egypt Cairo. Copies of prescriptions are retained at the Chemist's records office for a minimum of five years as mandated by the Ministry of Health and Population.</w:t>
      </w:r>
    </w:p>
    <w:p>
      <w:pPr>
        <w:pStyle w:val="BodyText"/>
      </w:pPr>
      <w:r>
        <w:t xml:space="preserve">3. The buyer acknowledges that all goods are subject to inspection upon delivery. Any discrepancies in quantity, packaging integrity, or batch numbers must be reported to Nile Chemist within forty-eight (48) hours of receipt.</w:t>
      </w:r>
    </w:p>
    <w:p>
      <w:pPr>
        <w:pStyle w:val="BodyText"/>
      </w:pPr>
      <w:r>
        <w:t xml:space="preserve">4. This Invoice is issued in accordance with the Egyptian Tax Authority's electronic invoicing requirements (Fatoora System). A digital copy of this Invoice has been transmitted to the buyer's registered email and to the E-Tax portal.</w:t>
      </w:r>
    </w:p>
    <w:p>
      <w:pPr>
        <w:pStyle w:val="BodyText"/>
      </w:pPr>
      <w:r>
        <w:t xml:space="preserve">5. Nile Chemist &amp; Pharmacy, located in the heart of Egypt Cairo, operates under the supervision of the Cairo Governorate Pharmacy Department. All staff handling these products are licensed pharmacists registered with the Egyptian Syndicate of Pharmacists.</w:t>
      </w:r>
    </w:p>
    <w:p>
      <w:pPr>
        <w:pStyle w:val="BodyText"/>
      </w:pPr>
      <w:r>
        <w:t xml:space="preserve">6. Cold-chain products (Item 05) must be stored at 2°C to 8°C. The Chemist's delivery team uses temperature-monitored insulated containers to ensure product integrity during transit within the Cairo metropolitan area.</w:t>
      </w:r>
    </w:p>
    <w:bookmarkEnd w:id="25"/>
    <w:p>
      <w:pPr>
        <w:pStyle w:val="BodyText"/>
      </w:pPr>
      <w:r>
        <w:t xml:space="preserve">Authorized Pharmacist Signature &amp; Stamp</w:t>
      </w:r>
    </w:p>
    <w:p>
      <w:pPr>
        <w:pStyle w:val="BodyText"/>
      </w:pPr>
      <w:r>
        <w:t xml:space="preserve">Buyer's Acknowledgment &amp; Stamp</w:t>
      </w:r>
    </w:p>
    <w:p>
      <w:pPr>
        <w:pStyle w:val="BodyText"/>
      </w:pPr>
      <w:r>
        <w:rPr>
          <w:bCs/>
          <w:b/>
        </w:rPr>
        <w:t xml:space="preserve">Nile Chemist &amp; Pharmacy</w:t>
      </w:r>
      <w:r>
        <w:t xml:space="preserve"> </w:t>
      </w:r>
      <w:r>
        <w:t xml:space="preserve">– A licensed Chemist and retail pharmacy serving the community of Egypt Cairo since 2003.</w:t>
      </w:r>
    </w:p>
    <w:p>
      <w:pPr>
        <w:pStyle w:val="BodyText"/>
      </w:pPr>
      <w:r>
        <w:t xml:space="preserve">Registered with the Egyptian Drug Authority | Member of the Egyptian Syndicate of Pharmacists | Cairo Governorate Health Directorate</w:t>
      </w:r>
    </w:p>
    <w:p>
      <w:pPr>
        <w:pStyle w:val="BodyText"/>
      </w:pPr>
      <w:r>
        <w:t xml:space="preserve">This Invoice is valid only when bearing the official stamp and signature of the dispensing pharmacist. For disputes, contact the Chemist's office at +20 2 2578 4432 or visit our premises at 127 El Tahrir Street, Cairo, Egypt.</w:t>
      </w:r>
    </w:p>
    <w:p>
      <w:pPr>
        <w:pStyle w:val="BodyText"/>
      </w:pPr>
      <w:r>
        <w:t xml:space="preserve">Document generated on 14 June 2025 | Invoice NC-2025-04871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Nile Chemist, Egypt Cairo</dc:title>
  <dc:creator/>
  <dc:language>en</dc:language>
  <cp:keywords/>
  <dcterms:created xsi:type="dcterms:W3CDTF">2026-10-10T02:10:19Z</dcterms:created>
  <dcterms:modified xsi:type="dcterms:W3CDTF">2026-10-10T02:10:19Z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