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France</w:t>
      </w:r>
      <w:r>
        <w:t xml:space="preserve"> </w:t>
      </w:r>
      <w:r>
        <w:t xml:space="preserve">Lyon</w:t>
      </w:r>
    </w:p>
    <w:bookmarkStart w:id="20" w:name="pharmacie-du-rhône"/>
    <w:p>
      <w:pPr>
        <w:pStyle w:val="Heading1"/>
      </w:pPr>
      <w:r>
        <w:t xml:space="preserve">Pharmacie du Rhône</w:t>
      </w:r>
    </w:p>
    <w:p>
      <w:pPr>
        <w:pStyle w:val="FirstParagraph"/>
      </w:pPr>
      <w:r>
        <w:t xml:space="preserve">Chemist &amp; Pharmacy Services</w:t>
      </w:r>
    </w:p>
    <w:p>
      <w:pPr>
        <w:pStyle w:val="BodyText"/>
      </w:pPr>
      <w:r>
        <w:t xml:space="preserve">124 Boulevard de la Croix-Rousse</w:t>
      </w:r>
    </w:p>
    <w:p>
      <w:pPr>
        <w:pStyle w:val="BodyText"/>
      </w:pPr>
      <w:r>
        <w:t xml:space="preserve">69004 Lyon, France</w:t>
      </w:r>
    </w:p>
    <w:p>
      <w:pPr>
        <w:pStyle w:val="BodyText"/>
      </w:pPr>
      <w:r>
        <w:t xml:space="preserve">Tel: +33 4 78 12 34 56</w:t>
      </w:r>
    </w:p>
    <w:p>
      <w:pPr>
        <w:pStyle w:val="BodyText"/>
      </w:pPr>
      <w:r>
        <w:t xml:space="preserve">Email: contact@pharmacie-rhone-lyon.fr</w:t>
      </w:r>
    </w:p>
    <w:p>
      <w:pPr>
        <w:pStyle w:val="BodyText"/>
      </w:pPr>
      <w:r>
        <w:t xml:space="preserve">SIRET: 842 567 891 00012</w:t>
      </w:r>
    </w:p>
    <w:p>
      <w:pPr>
        <w:pStyle w:val="BodyText"/>
      </w:pPr>
      <w:r>
        <w:t xml:space="preserve">TVA Intracommunautaire: FR 42 842567891</w:t>
      </w:r>
    </w:p>
    <w:bookmarkEnd w:id="20"/>
    <w:bookmarkStart w:id="21" w:name="invoice"/>
    <w:p>
      <w:pPr>
        <w:pStyle w:val="Heading2"/>
      </w:pPr>
      <w:r>
        <w:t xml:space="preserve">INVOICE</w:t>
      </w:r>
    </w:p>
    <w:p>
      <w:pPr>
        <w:pStyle w:val="FirstParagraph"/>
      </w:pPr>
      <w:r>
        <w:t xml:space="preserve">Facture N°: INV-2025-04872</w:t>
      </w:r>
    </w:p>
    <w:p>
      <w:pPr>
        <w:pStyle w:val="BodyText"/>
      </w:pPr>
      <w:r>
        <w:t xml:space="preserve">Date: 14 June 2025</w:t>
      </w:r>
    </w:p>
    <w:p>
      <w:pPr>
        <w:pStyle w:val="BodyText"/>
      </w:pPr>
      <w:r>
        <w:t xml:space="preserve">Due Date: 14 July 2025</w:t>
      </w:r>
    </w:p>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Bill To:</w:t>
            </w:r>
          </w:p>
        </w:tc>
        <w:tc>
          <w:tcPr/>
          <w:p>
            <w:pPr>
              <w:pStyle w:val="Compact"/>
              <w:jc w:val="left"/>
            </w:pPr>
            <w:r>
              <w:rPr>
                <w:bCs/>
                <w:b/>
              </w:rPr>
              <w:t xml:space="preserve">Monsieur Jean-Pierre Durand</w:t>
            </w:r>
            <w:r>
              <w:br/>
            </w:r>
            <w:r>
              <w:t xml:space="preserve">8 Rue de la République, 69002 Lyon, France</w:t>
            </w:r>
            <w:r>
              <w:br/>
            </w:r>
            <w:r>
              <w:t xml:space="preserve">N° Sécurité Sociale: 2 85 03 69 123 456 78</w:t>
            </w:r>
            <w:r>
              <w:br/>
            </w:r>
            <w:r>
              <w:t xml:space="preserve">Mutuelle: MGEN – N° 458721369</w:t>
            </w:r>
          </w:p>
        </w:tc>
      </w:tr>
      <w:tr>
        <w:tc>
          <w:tcPr/>
          <w:p>
            <w:pPr>
              <w:pStyle w:val="Compact"/>
              <w:jc w:val="left"/>
            </w:pPr>
            <w:r>
              <w:t xml:space="preserve">Prescribing Physician:</w:t>
            </w:r>
          </w:p>
        </w:tc>
        <w:tc>
          <w:tcPr/>
          <w:p>
            <w:pPr>
              <w:pStyle w:val="Compact"/>
              <w:jc w:val="left"/>
            </w:pPr>
            <w:r>
              <w:t xml:space="preserve">Dr. Claire Fontaine – 15 Quai Saint-Antoine, 69002 Lyon</w:t>
            </w:r>
          </w:p>
        </w:tc>
      </w:tr>
      <w:tr>
        <w:tc>
          <w:tcPr/>
          <w:p>
            <w:pPr>
              <w:pStyle w:val="Compact"/>
              <w:jc w:val="left"/>
            </w:pPr>
            <w:r>
              <w:t xml:space="preserve">Payment Method:</w:t>
            </w:r>
          </w:p>
        </w:tc>
        <w:tc>
          <w:tcPr/>
          <w:p>
            <w:pPr>
              <w:pStyle w:val="Compact"/>
              <w:jc w:val="left"/>
            </w:pPr>
            <w:r>
              <w:t xml:space="preserve">Carte Vitale + Mutuelle Reimbursement</w:t>
            </w:r>
          </w:p>
        </w:tc>
      </w:tr>
      <w:tr>
        <w:tc>
          <w:tcPr/>
          <w:p>
            <w:pPr>
              <w:pStyle w:val="Compact"/>
              <w:jc w:val="left"/>
            </w:pPr>
            <w:r>
              <w:t xml:space="preserve">Invoice Status:</w:t>
            </w:r>
          </w:p>
        </w:tc>
        <w:tc>
          <w:tcPr/>
          <w:p>
            <w:pPr>
              <w:pStyle w:val="Compact"/>
              <w:jc w:val="left"/>
            </w:pPr>
            <w:r>
              <w:t xml:space="preserve">PAID</w:t>
            </w:r>
          </w:p>
        </w:tc>
      </w:tr>
    </w:tbl>
    <w:p>
      <w:pPr>
        <w:pStyle w:val="BodyText"/>
      </w:pPr>
      <w:r>
        <w:t xml:space="preserve">Items Dispensed by the Chemist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DCI / Product</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Prescription Medication – Antibiotic</w:t>
            </w:r>
          </w:p>
        </w:tc>
        <w:tc>
          <w:tcPr/>
          <w:p>
            <w:pPr>
              <w:pStyle w:val="Compact"/>
              <w:jc w:val="left"/>
            </w:pPr>
            <w:r>
              <w:t xml:space="preserve">Amoxicilline 1000 mg (8 comprimés)</w:t>
            </w:r>
          </w:p>
        </w:tc>
        <w:tc>
          <w:tcPr/>
          <w:p>
            <w:pPr>
              <w:pStyle w:val="Compact"/>
              <w:jc w:val="left"/>
            </w:pPr>
            <w:r>
              <w:t xml:space="preserve">1 box</w:t>
            </w:r>
          </w:p>
        </w:tc>
        <w:tc>
          <w:tcPr/>
          <w:p>
            <w:pPr>
              <w:pStyle w:val="Compact"/>
              <w:jc w:val="left"/>
            </w:pPr>
            <w:r>
              <w:t xml:space="preserve">4.25</w:t>
            </w:r>
          </w:p>
        </w:tc>
        <w:tc>
          <w:tcPr/>
          <w:p>
            <w:pPr>
              <w:pStyle w:val="Compact"/>
              <w:jc w:val="left"/>
            </w:pPr>
            <w:r>
              <w:t xml:space="preserve">4.25</w:t>
            </w:r>
          </w:p>
        </w:tc>
      </w:tr>
      <w:tr>
        <w:tc>
          <w:tcPr/>
          <w:p>
            <w:pPr>
              <w:pStyle w:val="Compact"/>
              <w:jc w:val="left"/>
            </w:pPr>
            <w:r>
              <w:t xml:space="preserve">02</w:t>
            </w:r>
          </w:p>
        </w:tc>
        <w:tc>
          <w:tcPr/>
          <w:p>
            <w:pPr>
              <w:pStyle w:val="Compact"/>
              <w:jc w:val="left"/>
            </w:pPr>
            <w:r>
              <w:t xml:space="preserve">Prescription Medication – Antihypertensive</w:t>
            </w:r>
          </w:p>
        </w:tc>
        <w:tc>
          <w:tcPr/>
          <w:p>
            <w:pPr>
              <w:pStyle w:val="Compact"/>
              <w:jc w:val="left"/>
            </w:pPr>
            <w:r>
              <w:t xml:space="preserve">Perindopril 5 mg (30 comprimés)</w:t>
            </w:r>
          </w:p>
        </w:tc>
        <w:tc>
          <w:tcPr/>
          <w:p>
            <w:pPr>
              <w:pStyle w:val="Compact"/>
              <w:jc w:val="left"/>
            </w:pPr>
            <w:r>
              <w:t xml:space="preserve">1 box</w:t>
            </w:r>
          </w:p>
        </w:tc>
        <w:tc>
          <w:tcPr/>
          <w:p>
            <w:pPr>
              <w:pStyle w:val="Compact"/>
              <w:jc w:val="left"/>
            </w:pPr>
            <w:r>
              <w:t xml:space="preserve">3.80</w:t>
            </w:r>
          </w:p>
        </w:tc>
        <w:tc>
          <w:tcPr/>
          <w:p>
            <w:pPr>
              <w:pStyle w:val="Compact"/>
              <w:jc w:val="left"/>
            </w:pPr>
            <w:r>
              <w:t xml:space="preserve">3.80</w:t>
            </w:r>
          </w:p>
        </w:tc>
      </w:tr>
      <w:tr>
        <w:tc>
          <w:tcPr/>
          <w:p>
            <w:pPr>
              <w:pStyle w:val="Compact"/>
              <w:jc w:val="left"/>
            </w:pPr>
            <w:r>
              <w:t xml:space="preserve">03</w:t>
            </w:r>
          </w:p>
        </w:tc>
        <w:tc>
          <w:tcPr/>
          <w:p>
            <w:pPr>
              <w:pStyle w:val="Compact"/>
              <w:jc w:val="left"/>
            </w:pPr>
            <w:r>
              <w:t xml:space="preserve">Prescription Medication – Statin</w:t>
            </w:r>
          </w:p>
        </w:tc>
        <w:tc>
          <w:tcPr/>
          <w:p>
            <w:pPr>
              <w:pStyle w:val="Compact"/>
              <w:jc w:val="left"/>
            </w:pPr>
            <w:r>
              <w:t xml:space="preserve">Atorvastatine 20 mg (28 comprimés)</w:t>
            </w:r>
          </w:p>
        </w:tc>
        <w:tc>
          <w:tcPr/>
          <w:p>
            <w:pPr>
              <w:pStyle w:val="Compact"/>
              <w:jc w:val="left"/>
            </w:pPr>
            <w:r>
              <w:t xml:space="preserve">1 box</w:t>
            </w:r>
          </w:p>
        </w:tc>
        <w:tc>
          <w:tcPr/>
          <w:p>
            <w:pPr>
              <w:pStyle w:val="Compact"/>
              <w:jc w:val="left"/>
            </w:pPr>
            <w:r>
              <w:t xml:space="preserve">5.10</w:t>
            </w:r>
          </w:p>
        </w:tc>
        <w:tc>
          <w:tcPr/>
          <w:p>
            <w:pPr>
              <w:pStyle w:val="Compact"/>
              <w:jc w:val="left"/>
            </w:pPr>
            <w:r>
              <w:t xml:space="preserve">5.10</w:t>
            </w:r>
          </w:p>
        </w:tc>
      </w:tr>
      <w:tr>
        <w:tc>
          <w:tcPr/>
          <w:p>
            <w:pPr>
              <w:pStyle w:val="Compact"/>
              <w:jc w:val="left"/>
            </w:pPr>
            <w:r>
              <w:t xml:space="preserve">04</w:t>
            </w:r>
          </w:p>
        </w:tc>
        <w:tc>
          <w:tcPr/>
          <w:p>
            <w:pPr>
              <w:pStyle w:val="Compact"/>
              <w:jc w:val="left"/>
            </w:pPr>
            <w:r>
              <w:t xml:space="preserve">Over-the-Counter – Pain Relief</w:t>
            </w:r>
          </w:p>
        </w:tc>
        <w:tc>
          <w:tcPr/>
          <w:p>
            <w:pPr>
              <w:pStyle w:val="Compact"/>
              <w:jc w:val="left"/>
            </w:pPr>
            <w:r>
              <w:t xml:space="preserve">Ibuprofène 400 mg (20 comprimés)</w:t>
            </w:r>
          </w:p>
        </w:tc>
        <w:tc>
          <w:tcPr/>
          <w:p>
            <w:pPr>
              <w:pStyle w:val="Compact"/>
              <w:jc w:val="left"/>
            </w:pPr>
            <w:r>
              <w:t xml:space="preserve">2 boxes</w:t>
            </w:r>
          </w:p>
        </w:tc>
        <w:tc>
          <w:tcPr/>
          <w:p>
            <w:pPr>
              <w:pStyle w:val="Compact"/>
              <w:jc w:val="left"/>
            </w:pPr>
            <w:r>
              <w:t xml:space="preserve">2.95</w:t>
            </w:r>
          </w:p>
        </w:tc>
        <w:tc>
          <w:tcPr/>
          <w:p>
            <w:pPr>
              <w:pStyle w:val="Compact"/>
              <w:jc w:val="left"/>
            </w:pPr>
            <w:r>
              <w:t xml:space="preserve">5.90</w:t>
            </w:r>
          </w:p>
        </w:tc>
      </w:tr>
      <w:tr>
        <w:tc>
          <w:tcPr/>
          <w:p>
            <w:pPr>
              <w:pStyle w:val="Compact"/>
              <w:jc w:val="left"/>
            </w:pPr>
            <w:r>
              <w:t xml:space="preserve">05</w:t>
            </w:r>
          </w:p>
        </w:tc>
        <w:tc>
          <w:tcPr/>
          <w:p>
            <w:pPr>
              <w:pStyle w:val="Compact"/>
              <w:jc w:val="left"/>
            </w:pPr>
            <w:r>
              <w:t xml:space="preserve">Over-the-Counter – Vitamin Supplement</w:t>
            </w:r>
          </w:p>
        </w:tc>
        <w:tc>
          <w:tcPr/>
          <w:p>
            <w:pPr>
              <w:pStyle w:val="Compact"/>
              <w:jc w:val="left"/>
            </w:pPr>
            <w:r>
              <w:t xml:space="preserve">Vitamine D3 1000 UI (60 gélules)</w:t>
            </w:r>
          </w:p>
        </w:tc>
        <w:tc>
          <w:tcPr/>
          <w:p>
            <w:pPr>
              <w:pStyle w:val="Compact"/>
              <w:jc w:val="left"/>
            </w:pPr>
            <w:r>
              <w:t xml:space="preserve">1 bottle</w:t>
            </w:r>
          </w:p>
        </w:tc>
        <w:tc>
          <w:tcPr/>
          <w:p>
            <w:pPr>
              <w:pStyle w:val="Compact"/>
              <w:jc w:val="left"/>
            </w:pPr>
            <w:r>
              <w:t xml:space="preserve">12.40</w:t>
            </w:r>
          </w:p>
        </w:tc>
        <w:tc>
          <w:tcPr/>
          <w:p>
            <w:pPr>
              <w:pStyle w:val="Compact"/>
              <w:jc w:val="left"/>
            </w:pPr>
            <w:r>
              <w:t xml:space="preserve">12.40</w:t>
            </w:r>
          </w:p>
        </w:tc>
      </w:tr>
      <w:tr>
        <w:tc>
          <w:tcPr/>
          <w:p>
            <w:pPr>
              <w:pStyle w:val="Compact"/>
              <w:jc w:val="left"/>
            </w:pPr>
            <w:r>
              <w:t xml:space="preserve">06</w:t>
            </w:r>
          </w:p>
        </w:tc>
        <w:tc>
          <w:tcPr/>
          <w:p>
            <w:pPr>
              <w:pStyle w:val="Compact"/>
              <w:jc w:val="left"/>
            </w:pPr>
            <w:r>
              <w:t xml:space="preserve">Pharmacy Service – Blood Pressure Monitoring</w:t>
            </w:r>
          </w:p>
        </w:tc>
        <w:tc>
          <w:tcPr/>
          <w:p>
            <w:pPr>
              <w:pStyle w:val="Compact"/>
              <w:jc w:val="left"/>
            </w:pPr>
            <w:r>
              <w:t xml:space="preserve">Consultation &amp; Measurement at the Chemist counter</w:t>
            </w:r>
          </w:p>
        </w:tc>
        <w:tc>
          <w:tcPr/>
          <w:p>
            <w:pPr>
              <w:pStyle w:val="Compact"/>
              <w:jc w:val="left"/>
            </w:pPr>
            <w:r>
              <w:t xml:space="preserve">1 session</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07</w:t>
            </w:r>
          </w:p>
        </w:tc>
        <w:tc>
          <w:tcPr/>
          <w:p>
            <w:pPr>
              <w:pStyle w:val="Compact"/>
              <w:jc w:val="left"/>
            </w:pPr>
            <w:r>
              <w:t xml:space="preserve">Pharmacy Service – Medication Review &amp; Counseling</w:t>
            </w:r>
          </w:p>
        </w:tc>
        <w:tc>
          <w:tcPr/>
          <w:p>
            <w:pPr>
              <w:pStyle w:val="Compact"/>
              <w:jc w:val="left"/>
            </w:pPr>
            <w:r>
              <w:t xml:space="preserve">Personalized advice by the Chemist pharmacist</w:t>
            </w:r>
          </w:p>
        </w:tc>
        <w:tc>
          <w:tcPr/>
          <w:p>
            <w:pPr>
              <w:pStyle w:val="Compact"/>
              <w:jc w:val="left"/>
            </w:pPr>
            <w:r>
              <w:t xml:space="preserve">1 session</w:t>
            </w:r>
          </w:p>
        </w:tc>
        <w:tc>
          <w:tcPr/>
          <w:p>
            <w:pPr>
              <w:pStyle w:val="Compact"/>
              <w:jc w:val="left"/>
            </w:pPr>
            <w:r>
              <w:t xml:space="preserve">10.00</w:t>
            </w:r>
          </w:p>
        </w:tc>
        <w:tc>
          <w:tcPr/>
          <w:p>
            <w:pPr>
              <w:pStyle w:val="Compact"/>
              <w:jc w:val="left"/>
            </w:pPr>
            <w:r>
              <w:t xml:space="preserve">10.00</w:t>
            </w:r>
          </w:p>
        </w:tc>
      </w:tr>
      <w:tr>
        <w:tc>
          <w:tcPr/>
          <w:p>
            <w:pPr>
              <w:pStyle w:val="Compact"/>
              <w:jc w:val="left"/>
            </w:pPr>
            <w:r>
              <w:t xml:space="preserve">08</w:t>
            </w:r>
          </w:p>
        </w:tc>
        <w:tc>
          <w:tcPr/>
          <w:p>
            <w:pPr>
              <w:pStyle w:val="Compact"/>
              <w:jc w:val="left"/>
            </w:pPr>
            <w:r>
              <w:t xml:space="preserve">Medical Device – Glucose Test Strips</w:t>
            </w:r>
          </w:p>
        </w:tc>
        <w:tc>
          <w:tcPr/>
          <w:p>
            <w:pPr>
              <w:pStyle w:val="Compact"/>
              <w:jc w:val="left"/>
            </w:pPr>
            <w:r>
              <w:t xml:space="preserve">Glucotest Strips (50 units)</w:t>
            </w:r>
          </w:p>
        </w:tc>
        <w:tc>
          <w:tcPr/>
          <w:p>
            <w:pPr>
              <w:pStyle w:val="Compact"/>
              <w:jc w:val="left"/>
            </w:pPr>
            <w:r>
              <w:t xml:space="preserve">1 pack</w:t>
            </w:r>
          </w:p>
        </w:tc>
        <w:tc>
          <w:tcPr/>
          <w:p>
            <w:pPr>
              <w:pStyle w:val="Compact"/>
              <w:jc w:val="left"/>
            </w:pPr>
            <w:r>
              <w:t xml:space="preserve">18.75</w:t>
            </w:r>
          </w:p>
        </w:tc>
        <w:tc>
          <w:tcPr/>
          <w:p>
            <w:pPr>
              <w:pStyle w:val="Compact"/>
              <w:jc w:val="left"/>
            </w:pPr>
            <w:r>
              <w:t xml:space="preserve">18.75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(TTC)</w:t>
            </w:r>
          </w:p>
        </w:tc>
        <w:tc>
          <w:tcPr/>
          <w:p>
            <w:pPr>
              <w:pStyle w:val="Compact"/>
              <w:jc w:val="left"/>
            </w:pPr>
            <w:r>
              <w:t xml:space="preserve">75.20 €</w:t>
            </w:r>
          </w:p>
        </w:tc>
      </w:tr>
      <w:tr>
        <w:tc>
          <w:tcPr/>
          <w:p>
            <w:pPr>
              <w:pStyle w:val="Compact"/>
              <w:jc w:val="left"/>
            </w:pPr>
            <w:r>
              <w:t xml:space="preserve">TVA 2.10% (medications)</w:t>
            </w:r>
          </w:p>
        </w:tc>
        <w:tc>
          <w:tcPr/>
          <w:p>
            <w:pPr>
              <w:pStyle w:val="Compact"/>
              <w:jc w:val="left"/>
            </w:pPr>
            <w:r>
              <w:t xml:space="preserve">1.52 €</w:t>
            </w:r>
          </w:p>
        </w:tc>
      </w:tr>
      <w:tr>
        <w:tc>
          <w:tcPr/>
          <w:p>
            <w:pPr>
              <w:pStyle w:val="Compact"/>
              <w:jc w:val="left"/>
            </w:pPr>
            <w:r>
              <w:t xml:space="preserve">TVA 5.50% (OTC products)</w:t>
            </w:r>
          </w:p>
        </w:tc>
        <w:tc>
          <w:tcPr/>
          <w:p>
            <w:pPr>
              <w:pStyle w:val="Compact"/>
              <w:jc w:val="left"/>
            </w:pPr>
            <w:r>
              <w:t xml:space="preserve">0.87 €</w:t>
            </w:r>
          </w:p>
        </w:tc>
      </w:tr>
      <w:tr>
        <w:tc>
          <w:tcPr/>
          <w:p>
            <w:pPr>
              <w:pStyle w:val="Compact"/>
              <w:jc w:val="left"/>
            </w:pPr>
            <w:r>
              <w:t xml:space="preserve">TVA 20% (services)</w:t>
            </w:r>
          </w:p>
        </w:tc>
        <w:tc>
          <w:tcPr/>
          <w:p>
            <w:pPr>
              <w:pStyle w:val="Compact"/>
              <w:jc w:val="left"/>
            </w:pPr>
            <w:r>
              <w:t xml:space="preserve">5.00 €</w:t>
            </w:r>
          </w:p>
        </w:tc>
      </w:tr>
      <w:tr>
        <w:tc>
          <w:tcPr/>
          <w:p>
            <w:pPr>
              <w:pStyle w:val="Compact"/>
              <w:jc w:val="left"/>
            </w:pPr>
            <w:r>
              <w:t xml:space="preserve">Amont (HT)</w:t>
            </w:r>
          </w:p>
        </w:tc>
        <w:tc>
          <w:tcPr/>
          <w:p>
            <w:pPr>
              <w:pStyle w:val="Compact"/>
              <w:jc w:val="left"/>
            </w:pPr>
            <w:r>
              <w:t xml:space="preserve">67.81 €</w:t>
            </w:r>
          </w:p>
        </w:tc>
      </w:tr>
      <w:tr>
        <w:tc>
          <w:tcPr/>
          <w:p>
            <w:pPr>
              <w:pStyle w:val="Compact"/>
              <w:jc w:val="left"/>
            </w:pPr>
            <w:r>
              <w:t xml:space="preserve">Remboursement Sécurité Sociale (70%)</w:t>
            </w:r>
          </w:p>
        </w:tc>
        <w:tc>
          <w:tcPr/>
          <w:p>
            <w:pPr>
              <w:pStyle w:val="Compact"/>
              <w:jc w:val="left"/>
            </w:pPr>
            <w:r>
              <w:t xml:space="preserve">-30.47 €</w:t>
            </w:r>
          </w:p>
        </w:tc>
      </w:tr>
      <w:tr>
        <w:tc>
          <w:tcPr/>
          <w:p>
            <w:pPr>
              <w:pStyle w:val="Compact"/>
              <w:jc w:val="left"/>
            </w:pPr>
            <w:r>
              <w:t xml:space="preserve">Remboursement Mutuelle MGEN (30%)</w:t>
            </w:r>
          </w:p>
        </w:tc>
        <w:tc>
          <w:tcPr/>
          <w:p>
            <w:pPr>
              <w:pStyle w:val="Compact"/>
              <w:jc w:val="left"/>
            </w:pPr>
            <w:r>
              <w:t xml:space="preserve">-10.15 €</w:t>
            </w:r>
          </w:p>
        </w:tc>
      </w:tr>
      <w:tr>
        <w:tc>
          <w:tcPr/>
          <w:p>
            <w:pPr>
              <w:pStyle w:val="Compact"/>
              <w:jc w:val="left"/>
            </w:pPr>
            <w:r>
              <w:t xml:space="preserve">Net Amount Due by Patient</w:t>
            </w:r>
          </w:p>
        </w:tc>
        <w:tc>
          <w:tcPr/>
          <w:p>
            <w:pPr>
              <w:pStyle w:val="Compact"/>
              <w:jc w:val="left"/>
            </w:pPr>
            <w:r>
              <w:t xml:space="preserve">34.58 €</w:t>
            </w:r>
          </w:p>
        </w:tc>
      </w:tr>
    </w:tbl>
    <w:p>
      <w:pPr>
        <w:pStyle w:val="BodyText"/>
      </w:pPr>
      <w:r>
        <w:rPr>
          <w:bCs/>
          <w:b/>
        </w:rPr>
        <w:t xml:space="preserve">Important Notes Regarding This Invoice:</w:t>
      </w:r>
      <w:r>
        <w:br/>
      </w:r>
      <w:r>
        <w:t xml:space="preserve">This Invoice has been issued by the Chemist "Pharmacie du Rhône" located in France Lyon, in full compliance with the French Public Health Code (Code de la Santé Publique) and the regulations governing pharmacy invoicing in the Auvergne-Rhône-Alpes region. The patient is advised to retain this Invoice for a minimum of ten (10) years as required by French tax and social security regulations. The Chemist confirms that all prescription items listed above were dispensed in accordance with the original prescription issued by Dr. Claire Fontaine. The Carte Vitale transaction was processed on 14 June 2025 at 10:42 AM. The Mutuelle MGEN reimbursement will be processed electronically within 15 business days. For any questions regarding this Invoice, please contact the Chemist directly at the address listed above or by telephone during opening hours (Monday to Saturday, 08:30–19:30).</w:t>
      </w:r>
    </w:p>
    <w:p>
      <w:pPr>
        <w:pStyle w:val="BodyText"/>
      </w:pPr>
      <w:r>
        <w:t xml:space="preserve">Terms and Conditions</w:t>
      </w:r>
    </w:p>
    <w:p>
      <w:pPr>
        <w:pStyle w:val="BodyText"/>
      </w:pPr>
      <w:r>
        <w:t xml:space="preserve">This Invoice is governed by the laws of the French Republic. The Chemist "Pharmacie du Rhône" operates under the supervision of the Ordre des Pharmaciens de la Région Auvergne-Rhône-Alpes and the Agence Régionale de Santé (ARS) of France Lyon. All medications dispensed are subject to the French pharmaceutical regulations and the European Medicines Agency (EMA) guidelines. The patient acknowledges that the Chemist has provided appropriate counseling regarding the use, dosage, and potential side effects of all dispensed products. In the event of a dispute, the competent jurisdiction shall be the Tribunal de Commerce de Lyon. This Invoice constitutes the sole and complete agreement between the Chemist and the patient regarding the transaction described herein. No returns of opened medication packages are accepted in accordance with French pharmacy regulations. The Chemist reserves the right to refuse dispensing if the prescription is incomplete, expired, or does not comply with current French pharmaceutical law.</w:t>
      </w:r>
    </w:p>
    <w:p>
      <w:pPr>
        <w:pStyle w:val="BodyText"/>
      </w:pPr>
      <w:r>
        <w:rPr>
          <w:bCs/>
          <w:b/>
        </w:rPr>
        <w:t xml:space="preserve">Legal Information:</w:t>
      </w:r>
      <w:r>
        <w:t xml:space="preserve"> </w:t>
      </w:r>
      <w:r>
        <w:t xml:space="preserve">Pharmacie du Rhône – Chemist registered under the SIRET number 842 567 891 00012. Registered with the Ordre des Pharmaciens, 12 Rue de la République, 69002 Lyon, France. This Invoice is issued in accordance with Article R. 4235-68 of the Code de la Santé Publique. The Chemist is a member of the Syndicat des Pharmaciens de France Lyon. For complaints or regulatory inquiries, please contact the ARS Auvergne-Rhône-Alpes, 100 Rue de la République, 69002 Lyon, France. This document is generated electronically and holds the same legal value as a paper Invoice under the French Digital Republic Law (Loi pour une République Numérique) of 7 October 2016.</w:t>
      </w:r>
    </w:p>
    <w:p>
      <w:pPr>
        <w:pStyle w:val="BodyText"/>
      </w:pPr>
      <w:r>
        <w:rPr>
          <w:bCs/>
          <w:b/>
        </w:rPr>
        <w:t xml:space="preserve">Pharmacie du Rhône – Chemist, France Lyon</w:t>
      </w:r>
    </w:p>
    <w:p>
      <w:pPr>
        <w:pStyle w:val="BodyText"/>
      </w:pPr>
      <w:r>
        <w:t xml:space="preserve">124 Boulevard de la Croix-Rousse, 69004 Lyon, France | Tel: +33 4 78 12 34 56</w:t>
      </w:r>
    </w:p>
    <w:p>
      <w:pPr>
        <w:pStyle w:val="BodyText"/>
      </w:pPr>
      <w:r>
        <w:t xml:space="preserve">Thank you for choosing our Chemist in France Lyon. Your health and well-being are our priority.</w:t>
      </w:r>
    </w:p>
    <w:p>
      <w:pPr>
        <w:pStyle w:val="BodyText"/>
      </w:pPr>
      <w:r>
        <w:t xml:space="preserve">This Invoice was generated on 14/06/2025 at 10:45 AM (CEST). Document reference: INV-2025-04872.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France Lyon</dc:title>
  <dc:creator/>
  <dc:language>en</dc:language>
  <cp:keywords/>
  <dcterms:created xsi:type="dcterms:W3CDTF">2026-10-10T01:16:27Z</dcterms:created>
  <dcterms:modified xsi:type="dcterms:W3CDTF">2026-10-10T01:16:27Z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