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Pharmacie</w:t>
      </w:r>
      <w:r>
        <w:t xml:space="preserve"> </w:t>
      </w:r>
      <w:r>
        <w:t xml:space="preserve">du</w:t>
      </w:r>
      <w:r>
        <w:t xml:space="preserve"> </w:t>
      </w:r>
      <w:r>
        <w:t xml:space="preserve">Vieux</w:t>
      </w:r>
      <w:r>
        <w:t xml:space="preserve"> </w:t>
      </w:r>
      <w:r>
        <w:t xml:space="preserve">Port,</w:t>
      </w:r>
      <w:r>
        <w:t xml:space="preserve"> </w:t>
      </w:r>
      <w:r>
        <w:t xml:space="preserve">Marseille,</w:t>
      </w:r>
      <w:r>
        <w:t xml:space="preserve"> </w:t>
      </w:r>
      <w:r>
        <w:t xml:space="preserve">France</w:t>
      </w:r>
    </w:p>
    <w:bookmarkStart w:id="20" w:name="pharmacie-du-vieux-port"/>
    <w:p>
      <w:pPr>
        <w:pStyle w:val="Heading1"/>
      </w:pPr>
      <w:r>
        <w:t xml:space="preserve">Pharmacie du Vieux Port</w:t>
      </w:r>
    </w:p>
    <w:p>
      <w:pPr>
        <w:pStyle w:val="FirstParagraph"/>
      </w:pPr>
      <w:r>
        <w:t xml:space="preserve">12 Quai de Rive Neuve, 13007 Marseille, France</w:t>
      </w:r>
    </w:p>
    <w:p>
      <w:pPr>
        <w:pStyle w:val="BodyText"/>
      </w:pPr>
      <w:r>
        <w:t xml:space="preserve">Tel: +33 (0)4 91 54 23 67</w:t>
      </w:r>
    </w:p>
    <w:p>
      <w:pPr>
        <w:pStyle w:val="BodyText"/>
      </w:pPr>
      <w:r>
        <w:t xml:space="preserve">Email: contact@pharmacie-vieuxport.fr</w:t>
      </w:r>
    </w:p>
    <w:p>
      <w:pPr>
        <w:pStyle w:val="BodyText"/>
      </w:pPr>
      <w:r>
        <w:t xml:space="preserve">SIRET: 842 567 391 00021</w:t>
      </w:r>
    </w:p>
    <w:p>
      <w:pPr>
        <w:pStyle w:val="BodyText"/>
      </w:pPr>
      <w:r>
        <w:t xml:space="preserve">TVA Intracommunautaire: FR 42 842567391</w:t>
      </w:r>
    </w:p>
    <w:p>
      <w:pPr>
        <w:pStyle w:val="BodyText"/>
      </w:pPr>
      <w:r>
        <w:t xml:space="preserve">Licensed Chemist – Ordre des Pharmaciens de Marseille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Reference:</w:t>
      </w:r>
      <w:r>
        <w:t xml:space="preserve"> </w:t>
      </w:r>
      <w:r>
        <w:t xml:space="preserve">RX-2025-06-1142</w:t>
      </w:r>
    </w:p>
    <w:bookmarkEnd w:id="21"/>
    <w:bookmarkStart w:id="22" w:name="billed-to"/>
    <w:p>
      <w:pPr>
        <w:pStyle w:val="Heading3"/>
      </w:pPr>
      <w:r>
        <w:t xml:space="preserve">Billed To</w:t>
      </w:r>
    </w:p>
    <w:p>
      <w:pPr>
        <w:pStyle w:val="FirstParagraph"/>
      </w:pPr>
      <w:r>
        <w:rPr>
          <w:bCs/>
          <w:b/>
        </w:rPr>
        <w:t xml:space="preserve">Centre Hospitalier de Marseille</w:t>
      </w:r>
    </w:p>
    <w:p>
      <w:pPr>
        <w:pStyle w:val="BodyText"/>
      </w:pPr>
      <w:r>
        <w:t xml:space="preserve">Service de Pharmacologie Clinique</w:t>
      </w:r>
    </w:p>
    <w:p>
      <w:pPr>
        <w:pStyle w:val="BodyText"/>
      </w:pPr>
      <w:r>
        <w:t xml:space="preserve">80 Rue de La Conception</w:t>
      </w:r>
    </w:p>
    <w:p>
      <w:pPr>
        <w:pStyle w:val="BodyText"/>
      </w:pPr>
      <w:r>
        <w:t xml:space="preserve">13002 Marseille, France</w:t>
      </w:r>
    </w:p>
    <w:p>
      <w:pPr>
        <w:pStyle w:val="BodyText"/>
      </w:pPr>
      <w:r>
        <w:t xml:space="preserve">Attn: Dr. Claire Fontaine, Head of Pharmacy</w:t>
      </w:r>
    </w:p>
    <w:p>
      <w:pPr>
        <w:pStyle w:val="BodyText"/>
      </w:pPr>
      <w:r>
        <w:t xml:space="preserve">Tel: +33 (0)4 91 38 50 00</w:t>
      </w:r>
    </w:p>
    <w:bookmarkEnd w:id="22"/>
    <w:bookmarkStart w:id="23" w:name="chemist-supplier"/>
    <w:p>
      <w:pPr>
        <w:pStyle w:val="Heading3"/>
      </w:pPr>
      <w:r>
        <w:t xml:space="preserve">Chemist / Supplier</w:t>
      </w:r>
    </w:p>
    <w:p>
      <w:pPr>
        <w:pStyle w:val="FirstParagraph"/>
      </w:pPr>
      <w:r>
        <w:rPr>
          <w:bCs/>
          <w:b/>
        </w:rPr>
        <w:t xml:space="preserve">Pharmacie du Vieux Port</w:t>
      </w:r>
    </w:p>
    <w:p>
      <w:pPr>
        <w:pStyle w:val="BodyText"/>
      </w:pPr>
      <w:r>
        <w:t xml:space="preserve">Pharmacie d'Officine – Chemist</w:t>
      </w:r>
    </w:p>
    <w:p>
      <w:pPr>
        <w:pStyle w:val="BodyText"/>
      </w:pPr>
      <w:r>
        <w:t xml:space="preserve">12 Quai de Rive Neuve</w:t>
      </w:r>
    </w:p>
    <w:p>
      <w:pPr>
        <w:pStyle w:val="BodyText"/>
      </w:pPr>
      <w:r>
        <w:t xml:space="preserve">13007 Marseille, France</w:t>
      </w:r>
    </w:p>
    <w:p>
      <w:pPr>
        <w:pStyle w:val="BodyText"/>
      </w:pPr>
      <w:r>
        <w:t xml:space="preserve">Pharmacist in Charge: M. Antoine Delacroix, PhD</w:t>
      </w:r>
    </w:p>
    <w:p>
      <w:pPr>
        <w:pStyle w:val="BodyText"/>
      </w:pPr>
      <w:r>
        <w:t xml:space="preserve">License No: PH-13-2019-00452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Amoxicillin 500mg Capsules – 28 tablets per box (Prescription Dispensing Service)</w:t>
            </w:r>
          </w:p>
        </w:tc>
        <w:tc>
          <w:tcPr/>
          <w:p>
            <w:pPr>
              <w:pStyle w:val="Compact"/>
              <w:jc w:val="left"/>
            </w:pPr>
            <w:r>
              <w:t xml:space="preserve">AMX-500-28</w:t>
            </w:r>
          </w:p>
        </w:tc>
        <w:tc>
          <w:tcPr/>
          <w:p>
            <w:pPr>
              <w:pStyle w:val="Compact"/>
              <w:jc w:val="left"/>
            </w:pPr>
            <w:r>
              <w:t xml:space="preserve">45</w:t>
            </w:r>
          </w:p>
        </w:tc>
        <w:tc>
          <w:tcPr/>
          <w:p>
            <w:pPr>
              <w:pStyle w:val="Compact"/>
              <w:jc w:val="left"/>
            </w:pPr>
            <w:r>
              <w:t xml:space="preserve">12.80</w:t>
            </w:r>
          </w:p>
        </w:tc>
        <w:tc>
          <w:tcPr/>
          <w:p>
            <w:pPr>
              <w:pStyle w:val="Compact"/>
              <w:jc w:val="left"/>
            </w:pPr>
            <w:r>
              <w:t xml:space="preserve">576.00</w:t>
            </w:r>
          </w:p>
        </w:tc>
      </w:tr>
      <w:tr>
        <w:tc>
          <w:tcPr/>
          <w:p>
            <w:pPr>
              <w:pStyle w:val="Compact"/>
              <w:jc w:val="left"/>
            </w:pPr>
            <w:r>
              <w:t xml:space="preserve">02</w:t>
            </w:r>
          </w:p>
        </w:tc>
        <w:tc>
          <w:tcPr/>
          <w:p>
            <w:pPr>
              <w:pStyle w:val="Compact"/>
              <w:jc w:val="left"/>
            </w:pPr>
            <w:r>
              <w:t xml:space="preserve">Ibuprofen 400mg Tablets – 30 tablets per box (OTC Supply)</w:t>
            </w:r>
          </w:p>
        </w:tc>
        <w:tc>
          <w:tcPr/>
          <w:p>
            <w:pPr>
              <w:pStyle w:val="Compact"/>
              <w:jc w:val="left"/>
            </w:pPr>
            <w:r>
              <w:t xml:space="preserve">IBU-400-30</w:t>
            </w:r>
          </w:p>
        </w:tc>
        <w:tc>
          <w:tcPr/>
          <w:p>
            <w:pPr>
              <w:pStyle w:val="Compact"/>
              <w:jc w:val="left"/>
            </w:pPr>
            <w:r>
              <w:t xml:space="preserve">60</w:t>
            </w:r>
          </w:p>
        </w:tc>
        <w:tc>
          <w:tcPr/>
          <w:p>
            <w:pPr>
              <w:pStyle w:val="Compact"/>
              <w:jc w:val="left"/>
            </w:pPr>
            <w:r>
              <w:t xml:space="preserve">6.45</w:t>
            </w:r>
          </w:p>
        </w:tc>
        <w:tc>
          <w:tcPr/>
          <w:p>
            <w:pPr>
              <w:pStyle w:val="Compact"/>
              <w:jc w:val="left"/>
            </w:pPr>
            <w:r>
              <w:t xml:space="preserve">387.00</w:t>
            </w:r>
          </w:p>
        </w:tc>
      </w:tr>
      <w:tr>
        <w:tc>
          <w:tcPr/>
          <w:p>
            <w:pPr>
              <w:pStyle w:val="Compact"/>
              <w:jc w:val="left"/>
            </w:pPr>
            <w:r>
              <w:t xml:space="preserve">03</w:t>
            </w:r>
          </w:p>
        </w:tc>
        <w:tc>
          <w:tcPr/>
          <w:p>
            <w:pPr>
              <w:pStyle w:val="Compact"/>
              <w:jc w:val="left"/>
            </w:pPr>
            <w:r>
              <w:t xml:space="preserve">Metformin 850mg Tablets – 60 tablets per box (Chronic Care Supply)</w:t>
            </w:r>
          </w:p>
        </w:tc>
        <w:tc>
          <w:tcPr/>
          <w:p>
            <w:pPr>
              <w:pStyle w:val="Compact"/>
              <w:jc w:val="left"/>
            </w:pPr>
            <w:r>
              <w:t xml:space="preserve">MTF-850-60</w:t>
            </w:r>
          </w:p>
        </w:tc>
        <w:tc>
          <w:tcPr/>
          <w:p>
            <w:pPr>
              <w:pStyle w:val="Compact"/>
              <w:jc w:val="left"/>
            </w:pPr>
            <w:r>
              <w:t xml:space="preserve">30</w:t>
            </w:r>
          </w:p>
        </w:tc>
        <w:tc>
          <w:tcPr/>
          <w:p>
            <w:pPr>
              <w:pStyle w:val="Compact"/>
              <w:jc w:val="left"/>
            </w:pPr>
            <w:r>
              <w:t xml:space="preserve">9.20</w:t>
            </w:r>
          </w:p>
        </w:tc>
        <w:tc>
          <w:tcPr/>
          <w:p>
            <w:pPr>
              <w:pStyle w:val="Compact"/>
              <w:jc w:val="left"/>
            </w:pPr>
            <w:r>
              <w:t xml:space="preserve">276.00</w:t>
            </w:r>
          </w:p>
        </w:tc>
      </w:tr>
      <w:tr>
        <w:tc>
          <w:tcPr/>
          <w:p>
            <w:pPr>
              <w:pStyle w:val="Compact"/>
              <w:jc w:val="left"/>
            </w:pPr>
            <w:r>
              <w:t xml:space="preserve">04</w:t>
            </w:r>
          </w:p>
        </w:tc>
        <w:tc>
          <w:tcPr/>
          <w:p>
            <w:pPr>
              <w:pStyle w:val="Compact"/>
              <w:jc w:val="left"/>
            </w:pPr>
            <w:r>
              <w:t xml:space="preserve">Salbutamol Inhaler 100mcg – 200 doses (Respiratory Therapy)</w:t>
            </w:r>
          </w:p>
        </w:tc>
        <w:tc>
          <w:tcPr/>
          <w:p>
            <w:pPr>
              <w:pStyle w:val="Compact"/>
              <w:jc w:val="left"/>
            </w:pPr>
            <w:r>
              <w:t xml:space="preserve">SLB-100-200</w:t>
            </w:r>
          </w:p>
        </w:tc>
        <w:tc>
          <w:tcPr/>
          <w:p>
            <w:pPr>
              <w:pStyle w:val="Compact"/>
              <w:jc w:val="left"/>
            </w:pPr>
            <w:r>
              <w:t xml:space="preserve">25</w:t>
            </w:r>
          </w:p>
        </w:tc>
        <w:tc>
          <w:tcPr/>
          <w:p>
            <w:pPr>
              <w:pStyle w:val="Compact"/>
              <w:jc w:val="left"/>
            </w:pPr>
            <w:r>
              <w:t xml:space="preserve">14.60</w:t>
            </w:r>
          </w:p>
        </w:tc>
        <w:tc>
          <w:tcPr/>
          <w:p>
            <w:pPr>
              <w:pStyle w:val="Compact"/>
              <w:jc w:val="left"/>
            </w:pPr>
            <w:r>
              <w:t xml:space="preserve">365.00</w:t>
            </w:r>
          </w:p>
        </w:tc>
      </w:tr>
      <w:tr>
        <w:tc>
          <w:tcPr/>
          <w:p>
            <w:pPr>
              <w:pStyle w:val="Compact"/>
              <w:jc w:val="left"/>
            </w:pPr>
            <w:r>
              <w:t xml:space="preserve">05</w:t>
            </w:r>
          </w:p>
        </w:tc>
        <w:tc>
          <w:tcPr/>
          <w:p>
            <w:pPr>
              <w:pStyle w:val="Compact"/>
              <w:jc w:val="left"/>
            </w:pPr>
            <w:r>
              <w:t xml:space="preserve">Pharmaceutical Compounding Service – Custom Preparation (Sterile Ophthalmic Solution)</w:t>
            </w:r>
          </w:p>
        </w:tc>
        <w:tc>
          <w:tcPr/>
          <w:p>
            <w:pPr>
              <w:pStyle w:val="Compact"/>
              <w:jc w:val="left"/>
            </w:pPr>
            <w:r>
              <w:t xml:space="preserve">COMP-OPH-001</w:t>
            </w:r>
          </w:p>
        </w:tc>
        <w:tc>
          <w:tcPr/>
          <w:p>
            <w:pPr>
              <w:pStyle w:val="Compact"/>
              <w:jc w:val="left"/>
            </w:pPr>
            <w:r>
              <w:t xml:space="preserve">10</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Vaccination Service – Influenza Quadrivalent (2025/2026 Season) – Administration Fee</w:t>
            </w:r>
          </w:p>
        </w:tc>
        <w:tc>
          <w:tcPr/>
          <w:p>
            <w:pPr>
              <w:pStyle w:val="Compact"/>
              <w:jc w:val="left"/>
            </w:pPr>
            <w:r>
              <w:t xml:space="preserve">VAC-FLU-2526</w:t>
            </w:r>
          </w:p>
        </w:tc>
        <w:tc>
          <w:tcPr/>
          <w:p>
            <w:pPr>
              <w:pStyle w:val="Compact"/>
              <w:jc w:val="left"/>
            </w:pPr>
            <w:r>
              <w:t xml:space="preserve">120</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07</w:t>
            </w:r>
          </w:p>
        </w:tc>
        <w:tc>
          <w:tcPr/>
          <w:p>
            <w:pPr>
              <w:pStyle w:val="Compact"/>
              <w:jc w:val="left"/>
            </w:pPr>
            <w:r>
              <w:t xml:space="preserve">Pharmaceutical Consultation &amp; Medication Review Service (Monthly Retainer)</w:t>
            </w:r>
          </w:p>
        </w:tc>
        <w:tc>
          <w:tcPr/>
          <w:p>
            <w:pPr>
              <w:pStyle w:val="Compact"/>
              <w:jc w:val="left"/>
            </w:pPr>
            <w:r>
              <w:t xml:space="preserve">SVC-CONS-MON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Delivery &amp; Cold Chain Logistics – Marseille Metropolitan Area (Temperature-Controlled Transport)</w:t>
            </w:r>
          </w:p>
        </w:tc>
        <w:tc>
          <w:tcPr/>
          <w:p>
            <w:pPr>
              <w:pStyle w:val="Compact"/>
              <w:jc w:val="left"/>
            </w:pPr>
            <w:r>
              <w:t xml:space="preserve">LOG-CC-13</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3,479.00 EUR</w:t>
            </w:r>
          </w:p>
        </w:tc>
      </w:tr>
      <w:tr>
        <w:tc>
          <w:tcPr/>
          <w:p>
            <w:pPr>
              <w:pStyle w:val="Compact"/>
              <w:jc w:val="left"/>
            </w:pPr>
            <w:r>
              <w:t xml:space="preserve">VAT (TVA) – 20% Standard Rate (France)</w:t>
            </w:r>
          </w:p>
        </w:tc>
        <w:tc>
          <w:tcPr/>
          <w:p>
            <w:pPr>
              <w:pStyle w:val="Compact"/>
              <w:jc w:val="left"/>
            </w:pPr>
            <w:r>
              <w:t xml:space="preserve">695.80 EUR</w:t>
            </w:r>
          </w:p>
        </w:tc>
      </w:tr>
      <w:tr>
        <w:tc>
          <w:tcPr/>
          <w:p>
            <w:pPr>
              <w:pStyle w:val="Compact"/>
              <w:jc w:val="left"/>
            </w:pPr>
            <w:r>
              <w:t xml:space="preserve">VAT (TVA) – 5.5% Reduced Rate (Pharmaceutical Products)</w:t>
            </w:r>
          </w:p>
        </w:tc>
        <w:tc>
          <w:tcPr/>
          <w:p>
            <w:pPr>
              <w:pStyle w:val="Compact"/>
              <w:jc w:val="left"/>
            </w:pPr>
            <w:r>
              <w:t xml:space="preserve">112.64 EUR</w:t>
            </w:r>
          </w:p>
        </w:tc>
      </w:tr>
      <w:tr>
        <w:tc>
          <w:tcPr/>
          <w:p>
            <w:pPr>
              <w:pStyle w:val="Compact"/>
              <w:jc w:val="left"/>
            </w:pPr>
            <w:r>
              <w:t xml:space="preserve">Discount – Institutional Agreement (3%)</w:t>
            </w:r>
          </w:p>
        </w:tc>
        <w:tc>
          <w:tcPr/>
          <w:p>
            <w:pPr>
              <w:pStyle w:val="Compact"/>
              <w:jc w:val="left"/>
            </w:pPr>
            <w:r>
              <w:t xml:space="preserve">-104.37 EUR</w:t>
            </w:r>
          </w:p>
        </w:tc>
      </w:tr>
      <w:tr>
        <w:tc>
          <w:tcPr/>
          <w:p>
            <w:pPr>
              <w:pStyle w:val="Compact"/>
              <w:jc w:val="left"/>
            </w:pPr>
            <w:r>
              <w:t xml:space="preserve">Grand Total Due</w:t>
            </w:r>
          </w:p>
        </w:tc>
        <w:tc>
          <w:tcPr/>
          <w:p>
            <w:pPr>
              <w:pStyle w:val="Compact"/>
              <w:jc w:val="left"/>
            </w:pPr>
            <w:r>
              <w:t xml:space="preserve">4,183.07 EUR</w:t>
            </w:r>
          </w:p>
        </w:tc>
      </w:tr>
    </w:tbl>
    <w:bookmarkStart w:id="24" w:name="payment-terms-instructions"/>
    <w:p>
      <w:pPr>
        <w:pStyle w:val="Heading3"/>
      </w:pPr>
      <w:r>
        <w:t xml:space="preserve">Payment Terms &amp; Instructions</w:t>
      </w:r>
    </w:p>
    <w:p>
      <w:pPr>
        <w:pStyle w:val="FirstParagraph"/>
      </w:pPr>
      <w:r>
        <w:t xml:space="preserve">This invoice from the chemist Pharmacie du Vieux Port, Marseille, France, is payable within 14 calendar days of the date of issue. Payment is to be made via bank transfer (virement bancaire) to the following account:</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BNPAFRPPXXX</w:t>
      </w:r>
    </w:p>
    <w:p>
      <w:pPr>
        <w:pStyle w:val="BodyText"/>
      </w:pPr>
      <w:r>
        <w:rPr>
          <w:bCs/>
          <w:b/>
        </w:rPr>
        <w:t xml:space="preserve">Reference:</w:t>
      </w:r>
      <w:r>
        <w:t xml:space="preserve"> </w:t>
      </w:r>
      <w:r>
        <w:t xml:space="preserve">INV-2025-04871 / Centre Hospitalier de Marseille</w:t>
      </w:r>
    </w:p>
    <w:p>
      <w:pPr>
        <w:pStyle w:val="BodyText"/>
      </w:pPr>
      <w:r>
        <w:t xml:space="preserve">Please note that late payments are subject to a penalty of 1.5% per month in accordance with French commercial law (Code de commerce, Article L441-10). This chemist in France Marseille operates under the regulatory framework of the French Public Health Code (Code de la Santé Publique) and all transactions are subject to the oversight of the Agence Régionale de Santé (ARS) Provence-Alpes-Côte d'Azur.</w:t>
      </w:r>
    </w:p>
    <w:bookmarkEnd w:id="24"/>
    <w:bookmarkStart w:id="25" w:name="notes-regulatory-compliance"/>
    <w:p>
      <w:pPr>
        <w:pStyle w:val="Heading3"/>
      </w:pPr>
      <w:r>
        <w:t xml:space="preserve">Notes &amp; Regulatory Compliance</w:t>
      </w:r>
    </w:p>
    <w:p>
      <w:pPr>
        <w:pStyle w:val="FirstParagraph"/>
      </w:pPr>
      <w:r>
        <w:t xml:space="preserve">1. All pharmaceutical products listed on this invoice have been dispensed and verified by a licensed chemist (pharmacien d'officine) registered with the Ordre des Pharmaciens de Marseille, France.</w:t>
      </w:r>
    </w:p>
    <w:p>
      <w:pPr>
        <w:pStyle w:val="BodyText"/>
      </w:pPr>
      <w:r>
        <w:t xml:space="preserve">2. Prescription items (Items 01, 03, 04) were dispensed in full compliance with the French Public Health Code, Articles L4211-1 through L4211-12. Original prescriptions have been retained at the pharmacy in Marseille for the legally mandated period of five years.</w:t>
      </w:r>
    </w:p>
    <w:p>
      <w:pPr>
        <w:pStyle w:val="BodyText"/>
      </w:pPr>
      <w:r>
        <w:t xml:space="preserve">3. The compounding service (Item 05) was performed in accordance with the French Pharmacopoeia (Pharmacopée Française) and the guidelines issued by the Haute Autorité de Santé (HAS).</w:t>
      </w:r>
    </w:p>
    <w:p>
      <w:pPr>
        <w:pStyle w:val="BodyText"/>
      </w:pPr>
      <w:r>
        <w:t xml:space="preserve">4. Cold chain logistics (Item 08) were maintained at 2°C to 8°C throughout transport within the Marseille metropolitan area, with temperature logs available upon request.</w:t>
      </w:r>
    </w:p>
    <w:p>
      <w:pPr>
        <w:pStyle w:val="BodyText"/>
      </w:pPr>
      <w:r>
        <w:t xml:space="preserve">5. This invoice is issued by a registered chemist operating in France Marseille under SIRET 842 567 391 00021. All VAT calculations comply with the French General Tax Code (Code Général des Impôts). The standard TVA rate of 20% applies to services, while the reduced rate of 5.5% applies to eligible pharmaceutical products as per Article 279 of the CGI.</w:t>
      </w:r>
    </w:p>
    <w:p>
      <w:pPr>
        <w:pStyle w:val="BodyText"/>
      </w:pPr>
      <w:r>
        <w:t xml:space="preserve">6. For any queries regarding this invoice, please contact the pharmacy directly at the address stated above or via email. Our team of pharmacists and administrative staff in Marseille is available Monday through Saturday, 8:30 AM to 7:00 PM.</w:t>
      </w:r>
    </w:p>
    <w:bookmarkEnd w:id="25"/>
    <w:p>
      <w:pPr>
        <w:pStyle w:val="BodyText"/>
      </w:pPr>
      <w:r>
        <w:rPr>
          <w:bCs/>
          <w:b/>
        </w:rPr>
        <w:t xml:space="preserve">Pharmacie du Vieux Port</w:t>
      </w:r>
      <w:r>
        <w:t xml:space="preserve"> </w:t>
      </w:r>
      <w:r>
        <w:t xml:space="preserve">– Chemist / Pharmacie d'Officine – 12 Quai de Rive Neuve, 13007 Marseille, France</w:t>
      </w:r>
    </w:p>
    <w:p>
      <w:pPr>
        <w:pStyle w:val="BodyText"/>
      </w:pPr>
      <w:r>
        <w:t xml:space="preserve">SIRET: 842 567 391 00021 | TVA: FR 42 842567391 | RCS Marseille: 842 567 391</w:t>
      </w:r>
    </w:p>
    <w:p>
      <w:pPr>
        <w:pStyle w:val="BodyText"/>
      </w:pPr>
      <w:r>
        <w:t xml:space="preserve">Licensed by the Préfecture des Bouches-du-Rhône | Member of the Ordre des Pharmaciens de Marseille</w:t>
      </w:r>
    </w:p>
    <w:p>
      <w:pPr>
        <w:pStyle w:val="BodyText"/>
      </w:pPr>
      <w:r>
        <w:t xml:space="preserve">This document constitutes a valid commercial invoice (facture) under French law. Generated on 14 June 2025.</w:t>
      </w:r>
    </w:p>
    <w:p>
      <w:pPr>
        <w:pStyle w:val="BodyText"/>
      </w:pPr>
      <w:r>
        <w:t xml:space="preserve">Thank you for choosing Pharmacie du Vieux Port, your trusted chemist in the heart of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Pharmacie du Vieux Port, Marseille, France</dc:title>
  <dc:creator/>
  <dc:language>en</dc:language>
  <cp:keywords/>
  <dcterms:created xsi:type="dcterms:W3CDTF">2026-10-10T06:26:13Z</dcterms:created>
  <dcterms:modified xsi:type="dcterms:W3CDTF">2026-10-10T06:26:13Z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