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apotheke-am-brandenburger-tor"/>
    <w:p>
      <w:pPr>
        <w:pStyle w:val="Heading1"/>
      </w:pPr>
      <w:r>
        <w:t xml:space="preserve">Apotheke am Brandenburger Tor</w:t>
      </w:r>
    </w:p>
    <w:p>
      <w:pPr>
        <w:pStyle w:val="FirstParagraph"/>
      </w:pPr>
      <w:r>
        <w:t xml:space="preserve">Chemist &amp; Pharmacy Services</w:t>
      </w:r>
    </w:p>
    <w:p>
      <w:pPr>
        <w:pStyle w:val="BodyText"/>
      </w:pPr>
      <w:r>
        <w:t xml:space="preserve">Unter den Linden 42, 10117 Berlin, Germany</w:t>
      </w:r>
    </w:p>
    <w:p>
      <w:pPr>
        <w:pStyle w:val="BodyText"/>
      </w:pPr>
      <w:r>
        <w:t xml:space="preserve">Phone: +49 (0)30 555 78 210</w:t>
      </w:r>
    </w:p>
    <w:p>
      <w:pPr>
        <w:pStyle w:val="BodyText"/>
      </w:pPr>
      <w:r>
        <w:t xml:space="preserve">Email: info@apotheke-brandenburger-tor.de</w:t>
      </w:r>
    </w:p>
    <w:p>
      <w:pPr>
        <w:pStyle w:val="BodyText"/>
      </w:pPr>
      <w:r>
        <w:t xml:space="preserve">USt-IdNr: DE 294 817 365</w:t>
      </w:r>
    </w:p>
    <w:p>
      <w:pPr>
        <w:pStyle w:val="BodyText"/>
      </w:pPr>
      <w:r>
        <w:t xml:space="preserve">Handelsregister: HRB 145 892 B, Amtsgericht Berlin-Charlottenburg</w:t>
      </w:r>
    </w:p>
    <w:p>
      <w:pPr>
        <w:pStyle w:val="BodyText"/>
      </w:pPr>
      <w:r>
        <w:t xml:space="preserve">Licensed Chemist – Berlin Health Authority</w:t>
      </w:r>
    </w:p>
    <w:bookmarkEnd w:id="20"/>
    <w:bookmarkStart w:id="21" w:name="invoice"/>
    <w:p>
      <w:pPr>
        <w:pStyle w:val="Heading2"/>
      </w:pPr>
      <w:r>
        <w:t xml:space="preserve">INVOICE</w:t>
      </w:r>
    </w:p>
    <w:p>
      <w:pPr>
        <w:pStyle w:val="FirstParagraph"/>
      </w:pPr>
      <w:r>
        <w:t xml:space="preserve">Rechnung / Invoice</w:t>
      </w:r>
    </w:p>
    <w:p>
      <w:pPr>
        <w:pStyle w:val="BodyText"/>
      </w:pPr>
      <w:r>
        <w:t xml:space="preserve">Invoice No.: INV-2025-04871</w:t>
      </w:r>
    </w:p>
    <w:p>
      <w:pPr>
        <w:pStyle w:val="BodyText"/>
      </w:pPr>
      <w:r>
        <w:t xml:space="preserve">Date of Issue: 14 June 2025</w:t>
      </w:r>
    </w:p>
    <w:p>
      <w:pPr>
        <w:pStyle w:val="BodyText"/>
      </w:pPr>
      <w:r>
        <w:t xml:space="preserve">Due Date: 14 July 2025</w:t>
      </w:r>
    </w:p>
    <w:bookmarkEnd w:id="21"/>
    <w:bookmarkStart w:id="22" w:name="billed-to-kunde"/>
    <w:p>
      <w:pPr>
        <w:pStyle w:val="Heading3"/>
      </w:pPr>
      <w:r>
        <w:t xml:space="preserve">Billed To (Kunde)</w:t>
      </w:r>
    </w:p>
    <w:p>
      <w:pPr>
        <w:pStyle w:val="FirstParagraph"/>
      </w:pPr>
      <w:r>
        <w:rPr>
          <w:bCs/>
          <w:b/>
        </w:rPr>
        <w:t xml:space="preserve">Dr. Katharina Müller</w:t>
      </w:r>
    </w:p>
    <w:p>
      <w:pPr>
        <w:pStyle w:val="BodyText"/>
      </w:pPr>
      <w:r>
        <w:t xml:space="preserve">Charité – Universitätsmedizin Berlin</w:t>
      </w:r>
    </w:p>
    <w:p>
      <w:pPr>
        <w:pStyle w:val="BodyText"/>
      </w:pPr>
      <w:r>
        <w:t xml:space="preserve">Department of Internal Medicine</w:t>
      </w:r>
    </w:p>
    <w:p>
      <w:pPr>
        <w:pStyle w:val="BodyText"/>
      </w:pPr>
      <w:r>
        <w:t xml:space="preserve">Charitéplatz 1, 10117 Berlin, Germany</w:t>
      </w:r>
    </w:p>
    <w:p>
      <w:pPr>
        <w:pStyle w:val="BodyText"/>
      </w:pPr>
      <w:r>
        <w:t xml:space="preserve">VAT ID: DE 812 456 739</w:t>
      </w:r>
    </w:p>
    <w:bookmarkEnd w:id="22"/>
    <w:bookmarkStart w:id="23" w:name="prescribing-physician"/>
    <w:p>
      <w:pPr>
        <w:pStyle w:val="Heading3"/>
      </w:pPr>
      <w:r>
        <w:t xml:space="preserve">Prescribing Physician</w:t>
      </w:r>
    </w:p>
    <w:p>
      <w:pPr>
        <w:pStyle w:val="FirstParagraph"/>
      </w:pPr>
      <w:r>
        <w:t xml:space="preserve">Dr. med. Stefan Hoffmann</w:t>
      </w:r>
    </w:p>
    <w:p>
      <w:pPr>
        <w:pStyle w:val="BodyText"/>
      </w:pPr>
      <w:r>
        <w:t xml:space="preserve">Charité – Universitätsmedizin Berlin</w:t>
      </w:r>
    </w:p>
    <w:p>
      <w:pPr>
        <w:pStyle w:val="BodyText"/>
      </w:pPr>
      <w:r>
        <w:t xml:space="preserve">License No.: 2019/BER/44821</w:t>
      </w:r>
    </w:p>
    <w:bookmarkEnd w:id="23"/>
    <w:bookmarkStart w:id="24" w:name="payment-details"/>
    <w:p>
      <w:pPr>
        <w:pStyle w:val="Heading3"/>
      </w:pPr>
      <w:r>
        <w:t xml:space="preserve">Payment Details</w:t>
      </w:r>
    </w:p>
    <w:p>
      <w:pPr>
        <w:pStyle w:val="FirstParagraph"/>
      </w:pPr>
      <w:r>
        <w:t xml:space="preserve">Bank: Berliner Volksbank</w:t>
      </w:r>
    </w:p>
    <w:p>
      <w:pPr>
        <w:pStyle w:val="BodyText"/>
      </w:pPr>
      <w:r>
        <w:t xml:space="preserve">IBAN: DE44 1009 0000 4503 2100 42</w:t>
      </w:r>
    </w:p>
    <w:p>
      <w:pPr>
        <w:pStyle w:val="BodyText"/>
      </w:pPr>
      <w:r>
        <w:t xml:space="preserve">BIC: BEVODEBB</w:t>
      </w:r>
    </w:p>
    <w:p>
      <w:pPr>
        <w:pStyle w:val="BodyText"/>
      </w:pPr>
      <w:r>
        <w:t xml:space="preserve">Payment Terms: Net 30</w:t>
      </w:r>
    </w:p>
    <w:bookmarkEnd w:id="24"/>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PZN / Article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Prescription Medication: Metformin 1000 mg Film-Coated Tablets (500 tablets) – Dispensed by licensed chemist per physician prescription</w:t>
            </w:r>
          </w:p>
        </w:tc>
        <w:tc>
          <w:tcPr/>
          <w:p>
            <w:pPr>
              <w:pStyle w:val="Compact"/>
              <w:jc w:val="left"/>
            </w:pPr>
            <w:r>
              <w:t xml:space="preserve">PZN 01234567</w:t>
            </w:r>
          </w:p>
        </w:tc>
        <w:tc>
          <w:tcPr/>
          <w:p>
            <w:pPr>
              <w:pStyle w:val="Compact"/>
              <w:jc w:val="left"/>
            </w:pPr>
            <w:r>
              <w:t xml:space="preserve">1</w:t>
            </w:r>
          </w:p>
        </w:tc>
        <w:tc>
          <w:tcPr/>
          <w:p>
            <w:pPr>
              <w:pStyle w:val="Compact"/>
              <w:jc w:val="left"/>
            </w:pPr>
            <w:r>
              <w:t xml:space="preserve">24.90</w:t>
            </w:r>
          </w:p>
        </w:tc>
        <w:tc>
          <w:tcPr/>
          <w:p>
            <w:pPr>
              <w:pStyle w:val="Compact"/>
              <w:jc w:val="left"/>
            </w:pPr>
            <w:r>
              <w:t xml:space="preserve">19%</w:t>
            </w:r>
          </w:p>
        </w:tc>
        <w:tc>
          <w:tcPr/>
          <w:p>
            <w:pPr>
              <w:pStyle w:val="Compact"/>
              <w:jc w:val="left"/>
            </w:pPr>
            <w:r>
              <w:t xml:space="preserve">24.90</w:t>
            </w:r>
          </w:p>
        </w:tc>
      </w:tr>
      <w:tr>
        <w:tc>
          <w:tcPr/>
          <w:p>
            <w:pPr>
              <w:pStyle w:val="Compact"/>
              <w:jc w:val="left"/>
            </w:pPr>
            <w:r>
              <w:t xml:space="preserve">2</w:t>
            </w:r>
          </w:p>
        </w:tc>
        <w:tc>
          <w:tcPr/>
          <w:p>
            <w:pPr>
              <w:pStyle w:val="Compact"/>
              <w:jc w:val="left"/>
            </w:pPr>
            <w:r>
              <w:t xml:space="preserve">Prescription Medication: Atorvastatin 40 mg Film-Coated Tablets (90 tablets) – Chemist-verified dosage and interaction check performed</w:t>
            </w:r>
          </w:p>
        </w:tc>
        <w:tc>
          <w:tcPr/>
          <w:p>
            <w:pPr>
              <w:pStyle w:val="Compact"/>
              <w:jc w:val="left"/>
            </w:pPr>
            <w:r>
              <w:t xml:space="preserve">PZN 02345678</w:t>
            </w:r>
          </w:p>
        </w:tc>
        <w:tc>
          <w:tcPr/>
          <w:p>
            <w:pPr>
              <w:pStyle w:val="Compact"/>
              <w:jc w:val="left"/>
            </w:pPr>
            <w:r>
              <w:t xml:space="preserve">1</w:t>
            </w:r>
          </w:p>
        </w:tc>
        <w:tc>
          <w:tcPr/>
          <w:p>
            <w:pPr>
              <w:pStyle w:val="Compact"/>
              <w:jc w:val="left"/>
            </w:pPr>
            <w:r>
              <w:t xml:space="preserve">18.45</w:t>
            </w:r>
          </w:p>
        </w:tc>
        <w:tc>
          <w:tcPr/>
          <w:p>
            <w:pPr>
              <w:pStyle w:val="Compact"/>
              <w:jc w:val="left"/>
            </w:pPr>
            <w:r>
              <w:t xml:space="preserve">19%</w:t>
            </w:r>
          </w:p>
        </w:tc>
        <w:tc>
          <w:tcPr/>
          <w:p>
            <w:pPr>
              <w:pStyle w:val="Compact"/>
              <w:jc w:val="left"/>
            </w:pPr>
            <w:r>
              <w:t xml:space="preserve">18.45</w:t>
            </w:r>
          </w:p>
        </w:tc>
      </w:tr>
      <w:tr>
        <w:tc>
          <w:tcPr/>
          <w:p>
            <w:pPr>
              <w:pStyle w:val="Compact"/>
              <w:jc w:val="left"/>
            </w:pPr>
            <w:r>
              <w:t xml:space="preserve">3</w:t>
            </w:r>
          </w:p>
        </w:tc>
        <w:tc>
          <w:tcPr/>
          <w:p>
            <w:pPr>
              <w:pStyle w:val="Compact"/>
              <w:jc w:val="left"/>
            </w:pPr>
            <w:r>
              <w:t xml:space="preserve">Pharmaceutical Compounding Service: Custom topical cream preparation (Hydrocortisone 1% in emulsifying ointment, 50 g) – Prepared in-house by Berlin-licensed chemist</w:t>
            </w:r>
          </w:p>
        </w:tc>
        <w:tc>
          <w:tcPr/>
          <w:p>
            <w:pPr>
              <w:pStyle w:val="Compact"/>
              <w:jc w:val="left"/>
            </w:pPr>
            <w:r>
              <w:t xml:space="preserve">COMP-2025-0312</w:t>
            </w:r>
          </w:p>
        </w:tc>
        <w:tc>
          <w:tcPr/>
          <w:p>
            <w:pPr>
              <w:pStyle w:val="Compact"/>
              <w:jc w:val="left"/>
            </w:pPr>
            <w:r>
              <w:t xml:space="preserve">1</w:t>
            </w:r>
          </w:p>
        </w:tc>
        <w:tc>
          <w:tcPr/>
          <w:p>
            <w:pPr>
              <w:pStyle w:val="Compact"/>
              <w:jc w:val="left"/>
            </w:pPr>
            <w:r>
              <w:t xml:space="preserve">32.00</w:t>
            </w:r>
          </w:p>
        </w:tc>
        <w:tc>
          <w:tcPr/>
          <w:p>
            <w:pPr>
              <w:pStyle w:val="Compact"/>
              <w:jc w:val="left"/>
            </w:pPr>
            <w:r>
              <w:t xml:space="preserve">19%</w:t>
            </w:r>
          </w:p>
        </w:tc>
        <w:tc>
          <w:tcPr/>
          <w:p>
            <w:pPr>
              <w:pStyle w:val="Compact"/>
              <w:jc w:val="left"/>
            </w:pPr>
            <w:r>
              <w:t xml:space="preserve">32.00</w:t>
            </w:r>
          </w:p>
        </w:tc>
      </w:tr>
      <w:tr>
        <w:tc>
          <w:tcPr/>
          <w:p>
            <w:pPr>
              <w:pStyle w:val="Compact"/>
              <w:jc w:val="left"/>
            </w:pPr>
            <w:r>
              <w:t xml:space="preserve">4</w:t>
            </w:r>
          </w:p>
        </w:tc>
        <w:tc>
          <w:tcPr/>
          <w:p>
            <w:pPr>
              <w:pStyle w:val="Compact"/>
              <w:jc w:val="left"/>
            </w:pPr>
            <w:r>
              <w:t xml:space="preserve">Over-the-Counter Health Product: Vitamin D3 2000 IU Softgel Capsules (100 capsules) – Recommended by chemist during consultation</w:t>
            </w:r>
          </w:p>
        </w:tc>
        <w:tc>
          <w:tcPr/>
          <w:p>
            <w:pPr>
              <w:pStyle w:val="Compact"/>
              <w:jc w:val="left"/>
            </w:pPr>
            <w:r>
              <w:t xml:space="preserve">PZN 03456789</w:t>
            </w:r>
          </w:p>
        </w:tc>
        <w:tc>
          <w:tcPr/>
          <w:p>
            <w:pPr>
              <w:pStyle w:val="Compact"/>
              <w:jc w:val="left"/>
            </w:pPr>
            <w:r>
              <w:t xml:space="preserve">2</w:t>
            </w:r>
          </w:p>
        </w:tc>
        <w:tc>
          <w:tcPr/>
          <w:p>
            <w:pPr>
              <w:pStyle w:val="Compact"/>
              <w:jc w:val="left"/>
            </w:pPr>
            <w:r>
              <w:t xml:space="preserve">12.90</w:t>
            </w:r>
          </w:p>
        </w:tc>
        <w:tc>
          <w:tcPr/>
          <w:p>
            <w:pPr>
              <w:pStyle w:val="Compact"/>
              <w:jc w:val="left"/>
            </w:pPr>
            <w:r>
              <w:t xml:space="preserve">19%</w:t>
            </w:r>
          </w:p>
        </w:tc>
        <w:tc>
          <w:tcPr/>
          <w:p>
            <w:pPr>
              <w:pStyle w:val="Compact"/>
              <w:jc w:val="left"/>
            </w:pPr>
            <w:r>
              <w:t xml:space="preserve">25.80</w:t>
            </w:r>
          </w:p>
        </w:tc>
      </w:tr>
      <w:tr>
        <w:tc>
          <w:tcPr/>
          <w:p>
            <w:pPr>
              <w:pStyle w:val="Compact"/>
              <w:jc w:val="left"/>
            </w:pPr>
            <w:r>
              <w:t xml:space="preserve">5</w:t>
            </w:r>
          </w:p>
        </w:tc>
        <w:tc>
          <w:tcPr/>
          <w:p>
            <w:pPr>
              <w:pStyle w:val="Compact"/>
              <w:jc w:val="left"/>
            </w:pPr>
            <w:r>
              <w:t xml:space="preserve">Pharmaceutical Consultation &amp; Medication Review Service – 30-minute session with senior chemist at Berlin pharmacy, including drug interaction screening and dosage adjustment advice</w:t>
            </w:r>
          </w:p>
        </w:tc>
        <w:tc>
          <w:tcPr/>
          <w:p>
            <w:pPr>
              <w:pStyle w:val="Compact"/>
              <w:jc w:val="left"/>
            </w:pPr>
            <w:r>
              <w:t xml:space="preserve">SVC-CONS-001</w:t>
            </w:r>
          </w:p>
        </w:tc>
        <w:tc>
          <w:tcPr/>
          <w:p>
            <w:pPr>
              <w:pStyle w:val="Compact"/>
              <w:jc w:val="left"/>
            </w:pPr>
            <w:r>
              <w:t xml:space="preserve">1</w:t>
            </w:r>
          </w:p>
        </w:tc>
        <w:tc>
          <w:tcPr/>
          <w:p>
            <w:pPr>
              <w:pStyle w:val="Compact"/>
              <w:jc w:val="left"/>
            </w:pPr>
            <w:r>
              <w:t xml:space="preserve">25.00</w:t>
            </w:r>
          </w:p>
        </w:tc>
        <w:tc>
          <w:tcPr/>
          <w:p>
            <w:pPr>
              <w:pStyle w:val="Compact"/>
              <w:jc w:val="left"/>
            </w:pPr>
            <w:r>
              <w:t xml:space="preserve">19%</w:t>
            </w:r>
          </w:p>
        </w:tc>
        <w:tc>
          <w:tcPr/>
          <w:p>
            <w:pPr>
              <w:pStyle w:val="Compact"/>
              <w:jc w:val="left"/>
            </w:pPr>
            <w:r>
              <w:t xml:space="preserve">25.00</w:t>
            </w:r>
          </w:p>
        </w:tc>
      </w:tr>
      <w:tr>
        <w:tc>
          <w:tcPr/>
          <w:p>
            <w:pPr>
              <w:pStyle w:val="Compact"/>
              <w:jc w:val="left"/>
            </w:pPr>
            <w:r>
              <w:t xml:space="preserve">6</w:t>
            </w:r>
          </w:p>
        </w:tc>
        <w:tc>
          <w:tcPr/>
          <w:p>
            <w:pPr>
              <w:pStyle w:val="Compact"/>
              <w:jc w:val="left"/>
            </w:pPr>
            <w:r>
              <w:t xml:space="preserve">Medical Device: Blood Glucose Monitoring Kit with 50 test strips and 50 lancets – Supplied and calibrated by pharmacy chemist staff</w:t>
            </w:r>
          </w:p>
        </w:tc>
        <w:tc>
          <w:tcPr/>
          <w:p>
            <w:pPr>
              <w:pStyle w:val="Compact"/>
              <w:jc w:val="left"/>
            </w:pPr>
            <w:r>
              <w:t xml:space="preserve">PZN 04567890</w:t>
            </w:r>
          </w:p>
        </w:tc>
        <w:tc>
          <w:tcPr/>
          <w:p>
            <w:pPr>
              <w:pStyle w:val="Compact"/>
              <w:jc w:val="left"/>
            </w:pPr>
            <w:r>
              <w:t xml:space="preserve">1</w:t>
            </w:r>
          </w:p>
        </w:tc>
        <w:tc>
          <w:tcPr/>
          <w:p>
            <w:pPr>
              <w:pStyle w:val="Compact"/>
              <w:jc w:val="left"/>
            </w:pPr>
            <w:r>
              <w:t xml:space="preserve">45.50</w:t>
            </w:r>
          </w:p>
        </w:tc>
        <w:tc>
          <w:tcPr/>
          <w:p>
            <w:pPr>
              <w:pStyle w:val="Compact"/>
              <w:jc w:val="left"/>
            </w:pPr>
            <w:r>
              <w:t xml:space="preserve">19%</w:t>
            </w:r>
          </w:p>
        </w:tc>
        <w:tc>
          <w:tcPr/>
          <w:p>
            <w:pPr>
              <w:pStyle w:val="Compact"/>
              <w:jc w:val="left"/>
            </w:pPr>
            <w:r>
              <w:t xml:space="preserve">45.50</w:t>
            </w:r>
          </w:p>
        </w:tc>
      </w:tr>
      <w:tr>
        <w:tc>
          <w:tcPr/>
          <w:p>
            <w:pPr>
              <w:pStyle w:val="Compact"/>
              <w:jc w:val="left"/>
            </w:pPr>
            <w:r>
              <w:t xml:space="preserve">7</w:t>
            </w:r>
          </w:p>
        </w:tc>
        <w:tc>
          <w:tcPr/>
          <w:p>
            <w:pPr>
              <w:pStyle w:val="Compact"/>
              <w:jc w:val="left"/>
            </w:pPr>
            <w:r>
              <w:t xml:space="preserve">Home Delivery Service within Berlin city limits – Same-day pharmaceutical delivery arranged by chemist team, including temperature-controlled transport for sensitive medications</w:t>
            </w:r>
          </w:p>
        </w:tc>
        <w:tc>
          <w:tcPr/>
          <w:p>
            <w:pPr>
              <w:pStyle w:val="Compact"/>
              <w:jc w:val="left"/>
            </w:pPr>
            <w:r>
              <w:t xml:space="preserve">SVC-DEL-BER-01</w:t>
            </w:r>
          </w:p>
        </w:tc>
        <w:tc>
          <w:tcPr/>
          <w:p>
            <w:pPr>
              <w:pStyle w:val="Compact"/>
              <w:jc w:val="left"/>
            </w:pPr>
            <w:r>
              <w:t xml:space="preserve">1</w:t>
            </w:r>
          </w:p>
        </w:tc>
        <w:tc>
          <w:tcPr/>
          <w:p>
            <w:pPr>
              <w:pStyle w:val="Compact"/>
              <w:jc w:val="left"/>
            </w:pPr>
            <w:r>
              <w:t xml:space="preserve">4.90</w:t>
            </w:r>
          </w:p>
        </w:tc>
        <w:tc>
          <w:tcPr/>
          <w:p>
            <w:pPr>
              <w:pStyle w:val="Compact"/>
              <w:jc w:val="left"/>
            </w:pPr>
            <w:r>
              <w:t xml:space="preserve">19%</w:t>
            </w:r>
          </w:p>
        </w:tc>
        <w:tc>
          <w:tcPr/>
          <w:p>
            <w:pPr>
              <w:pStyle w:val="Compact"/>
              <w:jc w:val="left"/>
            </w:pPr>
            <w:r>
              <w:t xml:space="preserve">4.90</w:t>
            </w:r>
          </w:p>
        </w:tc>
      </w:tr>
      <w:tr>
        <w:tc>
          <w:tcPr/>
          <w:p>
            <w:pPr>
              <w:pStyle w:val="Compact"/>
              <w:jc w:val="left"/>
            </w:pPr>
            <w:r>
              <w:t xml:space="preserve">8</w:t>
            </w:r>
          </w:p>
        </w:tc>
        <w:tc>
          <w:tcPr/>
          <w:p>
            <w:pPr>
              <w:pStyle w:val="Compact"/>
              <w:jc w:val="left"/>
            </w:pPr>
            <w:r>
              <w:t xml:space="preserve">Pharmacy Packaging &amp; Labelling Service – Individual blister packaging with patient-specific labelling in German and English, including storage instructions and expiry date marking per German Pharmacy Act (Apothekengesetz)</w:t>
            </w:r>
          </w:p>
        </w:tc>
        <w:tc>
          <w:tcPr/>
          <w:p>
            <w:pPr>
              <w:pStyle w:val="Compact"/>
              <w:jc w:val="left"/>
            </w:pPr>
            <w:r>
              <w:t xml:space="preserve">SVC-PKG-001</w:t>
            </w:r>
          </w:p>
        </w:tc>
        <w:tc>
          <w:tcPr/>
          <w:p>
            <w:pPr>
              <w:pStyle w:val="Compact"/>
              <w:jc w:val="left"/>
            </w:pPr>
            <w:r>
              <w:t xml:space="preserve">1</w:t>
            </w:r>
          </w:p>
        </w:tc>
        <w:tc>
          <w:tcPr/>
          <w:p>
            <w:pPr>
              <w:pStyle w:val="Compact"/>
              <w:jc w:val="left"/>
            </w:pPr>
            <w:r>
              <w:t xml:space="preserve">3.50</w:t>
            </w:r>
          </w:p>
        </w:tc>
        <w:tc>
          <w:tcPr/>
          <w:p>
            <w:pPr>
              <w:pStyle w:val="Compact"/>
              <w:jc w:val="left"/>
            </w:pPr>
            <w:r>
              <w:t xml:space="preserve">19%</w:t>
            </w:r>
          </w:p>
        </w:tc>
        <w:tc>
          <w:tcPr/>
          <w:p>
            <w:pPr>
              <w:pStyle w:val="Compact"/>
              <w:jc w:val="left"/>
            </w:pPr>
            <w:r>
              <w:t xml:space="preserve">3.50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180.05 EUR</w:t>
            </w:r>
          </w:p>
        </w:tc>
      </w:tr>
      <w:tr>
        <w:tc>
          <w:tcPr/>
          <w:p>
            <w:pPr>
              <w:pStyle w:val="Compact"/>
              <w:jc w:val="left"/>
            </w:pPr>
            <w:r>
              <w:t xml:space="preserve">VAT 19% (Mehrwertsteuer)</w:t>
            </w:r>
          </w:p>
        </w:tc>
        <w:tc>
          <w:tcPr/>
          <w:p>
            <w:pPr>
              <w:pStyle w:val="Compact"/>
              <w:jc w:val="left"/>
            </w:pPr>
            <w:r>
              <w:t xml:space="preserve">34.21 EUR</w:t>
            </w:r>
          </w:p>
        </w:tc>
      </w:tr>
      <w:tr>
        <w:tc>
          <w:tcPr/>
          <w:p>
            <w:pPr>
              <w:pStyle w:val="Compact"/>
              <w:jc w:val="left"/>
            </w:pPr>
            <w:r>
              <w:t xml:space="preserve">Grand Total (Brutto)</w:t>
            </w:r>
          </w:p>
        </w:tc>
        <w:tc>
          <w:tcPr/>
          <w:p>
            <w:pPr>
              <w:pStyle w:val="Compact"/>
              <w:jc w:val="left"/>
            </w:pPr>
            <w:r>
              <w:t xml:space="preserve">214.26 EUR</w:t>
            </w:r>
          </w:p>
        </w:tc>
      </w:tr>
    </w:tbl>
    <w:bookmarkStart w:id="25" w:name="notes-terms-legal-information"/>
    <w:p>
      <w:pPr>
        <w:pStyle w:val="Heading3"/>
      </w:pPr>
      <w:r>
        <w:t xml:space="preserve">Notes, Terms &amp; Legal Information</w:t>
      </w:r>
    </w:p>
    <w:p>
      <w:pPr>
        <w:numPr>
          <w:ilvl w:val="0"/>
          <w:numId w:val="1001"/>
        </w:numPr>
        <w:pStyle w:val="Compact"/>
      </w:pPr>
      <w:r>
        <w:t xml:space="preserve">This invoice has been issued by a licensed chemist (Apotheker) operating a registered pharmacy in Berlin, Germany, in full compliance with the German Pharmacy Act (Apothekengesetz) and the German Commercial Code (Handelsgesetzbuch, HGB § 146a).</w:t>
      </w:r>
    </w:p>
    <w:p>
      <w:pPr>
        <w:numPr>
          <w:ilvl w:val="0"/>
          <w:numId w:val="1001"/>
        </w:numPr>
        <w:pStyle w:val="Compact"/>
      </w:pPr>
      <w:r>
        <w:t xml:space="preserve">All prescription medications listed above were dispensed upon presentation of a valid physician prescription issued within the Federal Republic of Germany. The chemist performed a mandatory pharmaceutical review of the prescription for correctness, dosage appropriateness, and potential drug interactions prior to dispensing.</w:t>
      </w:r>
    </w:p>
    <w:p>
      <w:pPr>
        <w:numPr>
          <w:ilvl w:val="0"/>
          <w:numId w:val="1001"/>
        </w:numPr>
        <w:pStyle w:val="Compact"/>
      </w:pPr>
      <w:r>
        <w:t xml:space="preserve">The compounding service (Item 3) was performed in accordance with the German Pharmacopoeia (Deutsches Arzneibuch, DAB) and the applicable quality management standards for pharmaceutical compounding in Berlin. The preparation is valid for 30 days from the date of manufacture.</w:t>
      </w:r>
    </w:p>
    <w:p>
      <w:pPr>
        <w:numPr>
          <w:ilvl w:val="0"/>
          <w:numId w:val="1001"/>
        </w:numPr>
        <w:pStyle w:val="Compact"/>
      </w:pPr>
      <w:r>
        <w:t xml:space="preserve">Payment is due within 30 calendar days from the date of issue. In the event of late payment, statutory interest of 8 percentage points above the European Central Bank base rate shall apply, in accordance with § 288 of the German Civil Code (Bürgerliches Gesetzbuch, BGB).</w:t>
      </w:r>
    </w:p>
    <w:p>
      <w:pPr>
        <w:numPr>
          <w:ilvl w:val="0"/>
          <w:numId w:val="1001"/>
        </w:numPr>
        <w:pStyle w:val="Compact"/>
      </w:pPr>
      <w:r>
        <w:t xml:space="preserve">This invoice is issued electronically in accordance with the German Invoice Regulation (Rechnungssteuerverordnung, UStG § 14). The electronic invoice carries the same legal standing as a paper invoice under German tax law.</w:t>
      </w:r>
    </w:p>
    <w:p>
      <w:pPr>
        <w:numPr>
          <w:ilvl w:val="0"/>
          <w:numId w:val="1001"/>
        </w:numPr>
        <w:pStyle w:val="Compact"/>
      </w:pPr>
      <w:r>
        <w:t xml:space="preserve">The pharmacy is registered with the Berlin Chamber of Pharmacists (Apothekerkammer Berlin) under registration number AK-BER-2019-00482. All pharmaceutical products supplied are sourced from approved wholesale distributors registered with the Federal Institute for Drugs and Medical Devices (Bundesinstitut für Arzneimittel und Medizinprodukte, BfArM).</w:t>
      </w:r>
    </w:p>
    <w:p>
      <w:pPr>
        <w:numPr>
          <w:ilvl w:val="0"/>
          <w:numId w:val="1001"/>
        </w:numPr>
        <w:pStyle w:val="Compact"/>
      </w:pPr>
      <w:r>
        <w:t xml:space="preserve">For any questions regarding this invoice or the pharmaceutical products and services provided, please contact the responsible chemist at the pharmacy address listed above. Our team is available Monday through Friday, 08:00–18:00, and Saturday 09:00–13:00, local Berlin time (CET/CEST).</w:t>
      </w:r>
    </w:p>
    <w:p>
      <w:pPr>
        <w:numPr>
          <w:ilvl w:val="0"/>
          <w:numId w:val="1001"/>
        </w:numPr>
        <w:pStyle w:val="Compact"/>
      </w:pPr>
      <w:r>
        <w:t xml:space="preserve">Customer data processed on this invoice is handled in accordance with the European General Data Protection Regulation (GDPR/DSGVO) and the German Federal Data Protection Act (Bundesdatenschutzgesetz, BDSG). Data retention period for this invoice is 10 years as required by German commercial and tax law.</w:t>
      </w:r>
    </w:p>
    <w:bookmarkEnd w:id="25"/>
    <w:p>
      <w:pPr>
        <w:pStyle w:val="FirstParagraph"/>
      </w:pPr>
      <w:r>
        <w:rPr>
          <w:bCs/>
          <w:b/>
        </w:rPr>
        <w:t xml:space="preserve">Apotheke am Brandenburger Tor</w:t>
      </w:r>
      <w:r>
        <w:t xml:space="preserve"> </w:t>
      </w:r>
      <w:r>
        <w:t xml:space="preserve">– Chemist &amp; Pharmacy, Berlin, Germany</w:t>
      </w:r>
    </w:p>
    <w:p>
      <w:pPr>
        <w:pStyle w:val="BodyText"/>
      </w:pPr>
      <w:r>
        <w:t xml:space="preserve">Unter den Linden 42, 10117 Berlin | Phone: +49 (0)30 555 78 210 | USt-IdNr: DE 294 817 365</w:t>
      </w:r>
    </w:p>
    <w:p>
      <w:pPr>
        <w:pStyle w:val="BodyText"/>
      </w:pPr>
      <w:r>
        <w:t xml:space="preserve">Registered with the Berlin Chamber of Pharmacists (Apothekerkammer Berlin) | HRB 145 892 B, Amtsgericht Berlin-Charlottenburg</w:t>
      </w:r>
    </w:p>
    <w:p>
      <w:pPr>
        <w:pStyle w:val="BodyText"/>
      </w:pPr>
      <w:r>
        <w:t xml:space="preserve">This invoice was generated on 14 June 2025. Thank you for choosing our Berlin pharmacy for your pharmaceutical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Invoice - Berlin, Germany</dc:title>
  <dc:creator/>
  <dc:language>en</dc:language>
  <cp:keywords/>
  <dcterms:created xsi:type="dcterms:W3CDTF">2026-10-10T02:39:43Z</dcterms:created>
  <dcterms:modified xsi:type="dcterms:W3CDTF">2026-10-10T02:39:43Z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