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Frankfurt,</w:t>
      </w:r>
      <w:r>
        <w:t xml:space="preserve"> </w:t>
      </w:r>
      <w:r>
        <w:t xml:space="preserve">Germany</w:t>
      </w:r>
    </w:p>
    <w:bookmarkStart w:id="20" w:name="apotheke-am-main-chemist-frankfurt"/>
    <w:p>
      <w:pPr>
        <w:pStyle w:val="Heading1"/>
      </w:pPr>
      <w:r>
        <w:t xml:space="preserve">Apotheke am Main – Chemist Frankfurt</w:t>
      </w:r>
    </w:p>
    <w:p>
      <w:pPr>
        <w:pStyle w:val="FirstParagraph"/>
      </w:pPr>
      <w:r>
        <w:t xml:space="preserve">Mainstraße 142, 60311 Frankfurt am Main, Germany</w:t>
      </w:r>
    </w:p>
    <w:p>
      <w:pPr>
        <w:pStyle w:val="BodyText"/>
      </w:pPr>
      <w:r>
        <w:t xml:space="preserve">Phone: +49 (0)69 4455 6677</w:t>
      </w:r>
    </w:p>
    <w:p>
      <w:pPr>
        <w:pStyle w:val="BodyText"/>
      </w:pPr>
      <w:r>
        <w:t xml:space="preserve">Email: info@apotheke-am-main-frankfurt.de</w:t>
      </w:r>
    </w:p>
    <w:p>
      <w:pPr>
        <w:pStyle w:val="BodyText"/>
      </w:pPr>
      <w:r>
        <w:t xml:space="preserve">USt-IdNr.: DE 298 456 712</w:t>
      </w:r>
    </w:p>
    <w:p>
      <w:pPr>
        <w:pStyle w:val="BodyText"/>
      </w:pPr>
      <w:r>
        <w:t xml:space="preserve">Pharmacy License No.: Hesse-Pharm-2019-00482</w:t>
      </w:r>
    </w:p>
    <w:bookmarkEnd w:id="20"/>
    <w:bookmarkStart w:id="21" w:name="invoice"/>
    <w:p>
      <w:pPr>
        <w:pStyle w:val="Heading2"/>
      </w:pPr>
      <w:r>
        <w:t xml:space="preserve">INVOICE</w:t>
      </w:r>
    </w:p>
    <w:p>
      <w:pPr>
        <w:pStyle w:val="FirstParagraph"/>
      </w:pPr>
      <w:r>
        <w:t xml:space="preserve">Invoice No.: INV-2025-00847</w:t>
      </w:r>
    </w:p>
    <w:p>
      <w:pPr>
        <w:pStyle w:val="BodyText"/>
      </w:pPr>
      <w:r>
        <w:t xml:space="preserve">Date of Issue: 14 June 2025</w:t>
      </w:r>
    </w:p>
    <w:p>
      <w:pPr>
        <w:pStyle w:val="BodyText"/>
      </w:pPr>
      <w:r>
        <w:t xml:space="preserve">Due Date: 14 July 2025</w:t>
      </w:r>
    </w:p>
    <w:p>
      <w:pPr>
        <w:pStyle w:val="BodyText"/>
      </w:pPr>
      <w:r>
        <w:t xml:space="preserve">PAID</w:t>
      </w:r>
    </w:p>
    <w:bookmarkEnd w:id="21"/>
    <w:bookmarkStart w:id="22" w:name="billed-to-customer"/>
    <w:p>
      <w:pPr>
        <w:pStyle w:val="Heading3"/>
      </w:pPr>
      <w:r>
        <w:t xml:space="preserve">Billed To (Customer)</w:t>
      </w:r>
    </w:p>
    <w:p>
      <w:pPr>
        <w:pStyle w:val="FirstParagraph"/>
      </w:pPr>
      <w:r>
        <w:rPr>
          <w:bCs/>
          <w:b/>
        </w:rPr>
        <w:t xml:space="preserve">Dr. Katharina Müller</w:t>
      </w:r>
    </w:p>
    <w:p>
      <w:pPr>
        <w:pStyle w:val="BodyText"/>
      </w:pPr>
      <w:r>
        <w:t xml:space="preserve">Goethestraße 87, Apt. 3B</w:t>
      </w:r>
    </w:p>
    <w:p>
      <w:pPr>
        <w:pStyle w:val="BodyText"/>
      </w:pPr>
      <w:r>
        <w:t xml:space="preserve">60313 Frankfurt am Main, Germany</w:t>
      </w:r>
    </w:p>
    <w:p>
      <w:pPr>
        <w:pStyle w:val="BodyText"/>
      </w:pPr>
      <w:r>
        <w:t xml:space="preserve">Phone: +49 (0)69 8812 3344</w:t>
      </w:r>
    </w:p>
    <w:p>
      <w:pPr>
        <w:pStyle w:val="BodyText"/>
      </w:pPr>
      <w:r>
        <w:t xml:space="preserve">Email: k.mueller@email.de</w:t>
      </w:r>
    </w:p>
    <w:p>
      <w:pPr>
        <w:pStyle w:val="BodyText"/>
      </w:pPr>
      <w:r>
        <w:t xml:space="preserve">Insurance: TK – Techniker Krankenkasse</w:t>
      </w:r>
    </w:p>
    <w:p>
      <w:pPr>
        <w:pStyle w:val="BodyText"/>
      </w:pPr>
      <w:r>
        <w:t xml:space="preserve">Insurance No.: TK-4471-8829-001</w:t>
      </w:r>
    </w:p>
    <w:bookmarkEnd w:id="22"/>
    <w:bookmarkStart w:id="23" w:name="invoice-details"/>
    <w:p>
      <w:pPr>
        <w:pStyle w:val="Heading3"/>
      </w:pPr>
      <w:r>
        <w:t xml:space="preserve">Invoice Details</w:t>
      </w:r>
    </w:p>
    <w:p>
      <w:pPr>
        <w:pStyle w:val="FirstParagraph"/>
      </w:pPr>
      <w:r>
        <w:rPr>
          <w:bCs/>
          <w:b/>
        </w:rPr>
        <w:t xml:space="preserve">Prescribed by:</w:t>
      </w:r>
      <w:r>
        <w:t xml:space="preserve"> </w:t>
      </w:r>
      <w:r>
        <w:t xml:space="preserve">Dr. med. Stefan Weber</w:t>
      </w:r>
    </w:p>
    <w:p>
      <w:pPr>
        <w:pStyle w:val="BodyText"/>
      </w:pPr>
      <w:r>
        <w:t xml:space="preserve">Praxis am Römer, Frankfurt am Main</w:t>
      </w:r>
    </w:p>
    <w:p>
      <w:pPr>
        <w:pStyle w:val="BodyText"/>
      </w:pPr>
      <w:r>
        <w:rPr>
          <w:bCs/>
          <w:b/>
        </w:rPr>
        <w:t xml:space="preserve">Prescription No.:</w:t>
      </w:r>
      <w:r>
        <w:t xml:space="preserve"> </w:t>
      </w:r>
      <w:r>
        <w:t xml:space="preserve">RX-2025-11934</w:t>
      </w:r>
    </w:p>
    <w:p>
      <w:pPr>
        <w:pStyle w:val="BodyText"/>
      </w:pPr>
      <w:r>
        <w:rPr>
          <w:bCs/>
          <w:b/>
        </w:rPr>
        <w:t xml:space="preserve">Service Type:</w:t>
      </w:r>
      <w:r>
        <w:t xml:space="preserve"> </w:t>
      </w:r>
      <w:r>
        <w:t xml:space="preserve">Dispensed Medication &amp; Health Products</w:t>
      </w:r>
    </w:p>
    <w:p>
      <w:pPr>
        <w:pStyle w:val="BodyText"/>
      </w:pPr>
      <w:r>
        <w:rPr>
          <w:bCs/>
          <w:b/>
        </w:rPr>
        <w:t xml:space="preserve">Payment Method:</w:t>
      </w:r>
      <w:r>
        <w:t xml:space="preserve"> </w:t>
      </w:r>
      <w:r>
        <w:t xml:space="preserve">Bank Transfer (SEPA)</w:t>
      </w:r>
    </w:p>
    <w:p>
      <w:pPr>
        <w:pStyle w:val="BodyText"/>
      </w:pPr>
      <w:r>
        <w:rPr>
          <w:bCs/>
          <w:b/>
        </w:rPr>
        <w:t xml:space="preserve">Reference:</w:t>
      </w:r>
      <w:r>
        <w:t xml:space="preserve"> </w:t>
      </w:r>
      <w:r>
        <w:t xml:space="preserve">Chemist Frankfurt – June 2025</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Code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VAT Rate</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Amoxicillin 500 mg Capsules – 21 tablets (Antibiotic, prescribed)</w:t>
            </w:r>
          </w:p>
        </w:tc>
        <w:tc>
          <w:tcPr/>
          <w:p>
            <w:pPr>
              <w:pStyle w:val="Compact"/>
              <w:jc w:val="left"/>
            </w:pPr>
            <w:r>
              <w:t xml:space="preserve">030012345678</w:t>
            </w:r>
          </w:p>
        </w:tc>
        <w:tc>
          <w:tcPr/>
          <w:p>
            <w:pPr>
              <w:pStyle w:val="Compact"/>
              <w:jc w:val="left"/>
            </w:pPr>
            <w:r>
              <w:t xml:space="preserve">1 box</w:t>
            </w:r>
          </w:p>
        </w:tc>
        <w:tc>
          <w:tcPr/>
          <w:p>
            <w:pPr>
              <w:pStyle w:val="Compact"/>
              <w:jc w:val="left"/>
            </w:pPr>
            <w:r>
              <w:t xml:space="preserve">12.49</w:t>
            </w:r>
          </w:p>
        </w:tc>
        <w:tc>
          <w:tcPr/>
          <w:p>
            <w:pPr>
              <w:pStyle w:val="Compact"/>
              <w:jc w:val="left"/>
            </w:pPr>
            <w:r>
              <w:t xml:space="preserve">19%</w:t>
            </w:r>
          </w:p>
        </w:tc>
        <w:tc>
          <w:tcPr/>
          <w:p>
            <w:pPr>
              <w:pStyle w:val="Compact"/>
              <w:jc w:val="left"/>
            </w:pPr>
            <w:r>
              <w:t xml:space="preserve">12.49</w:t>
            </w:r>
          </w:p>
        </w:tc>
      </w:tr>
      <w:tr>
        <w:tc>
          <w:tcPr/>
          <w:p>
            <w:pPr>
              <w:pStyle w:val="Compact"/>
              <w:jc w:val="left"/>
            </w:pPr>
            <w:r>
              <w:t xml:space="preserve">2</w:t>
            </w:r>
          </w:p>
        </w:tc>
        <w:tc>
          <w:tcPr/>
          <w:p>
            <w:pPr>
              <w:pStyle w:val="Compact"/>
              <w:jc w:val="left"/>
            </w:pPr>
            <w:r>
              <w:t xml:space="preserve">Ibuprofen 400 mg Film-Coated Tablets – 20 tablets (Analgesic)</w:t>
            </w:r>
          </w:p>
        </w:tc>
        <w:tc>
          <w:tcPr/>
          <w:p>
            <w:pPr>
              <w:pStyle w:val="Compact"/>
              <w:jc w:val="left"/>
            </w:pPr>
            <w:r>
              <w:t xml:space="preserve">030098765432</w:t>
            </w:r>
          </w:p>
        </w:tc>
        <w:tc>
          <w:tcPr/>
          <w:p>
            <w:pPr>
              <w:pStyle w:val="Compact"/>
              <w:jc w:val="left"/>
            </w:pPr>
            <w:r>
              <w:t xml:space="preserve">2 boxes</w:t>
            </w:r>
          </w:p>
        </w:tc>
        <w:tc>
          <w:tcPr/>
          <w:p>
            <w:pPr>
              <w:pStyle w:val="Compact"/>
              <w:jc w:val="left"/>
            </w:pPr>
            <w:r>
              <w:t xml:space="preserve">6.89</w:t>
            </w:r>
          </w:p>
        </w:tc>
        <w:tc>
          <w:tcPr/>
          <w:p>
            <w:pPr>
              <w:pStyle w:val="Compact"/>
              <w:jc w:val="left"/>
            </w:pPr>
            <w:r>
              <w:t xml:space="preserve">19%</w:t>
            </w:r>
          </w:p>
        </w:tc>
        <w:tc>
          <w:tcPr/>
          <w:p>
            <w:pPr>
              <w:pStyle w:val="Compact"/>
              <w:jc w:val="left"/>
            </w:pPr>
            <w:r>
              <w:t xml:space="preserve">13.78</w:t>
            </w:r>
          </w:p>
        </w:tc>
      </w:tr>
      <w:tr>
        <w:tc>
          <w:tcPr/>
          <w:p>
            <w:pPr>
              <w:pStyle w:val="Compact"/>
              <w:jc w:val="left"/>
            </w:pPr>
            <w:r>
              <w:t xml:space="preserve">3</w:t>
            </w:r>
          </w:p>
        </w:tc>
        <w:tc>
          <w:tcPr/>
          <w:p>
            <w:pPr>
              <w:pStyle w:val="Compact"/>
              <w:jc w:val="left"/>
            </w:pPr>
            <w:r>
              <w:t xml:space="preserve">Salbutamol Inhaler 100 mcg – 200 doses (Bronchodilator, prescribed)</w:t>
            </w:r>
          </w:p>
        </w:tc>
        <w:tc>
          <w:tcPr/>
          <w:p>
            <w:pPr>
              <w:pStyle w:val="Compact"/>
              <w:jc w:val="left"/>
            </w:pPr>
            <w:r>
              <w:t xml:space="preserve">030045678901</w:t>
            </w:r>
          </w:p>
        </w:tc>
        <w:tc>
          <w:tcPr/>
          <w:p>
            <w:pPr>
              <w:pStyle w:val="Compact"/>
              <w:jc w:val="left"/>
            </w:pPr>
            <w:r>
              <w:t xml:space="preserve">1 unit</w:t>
            </w:r>
          </w:p>
        </w:tc>
        <w:tc>
          <w:tcPr/>
          <w:p>
            <w:pPr>
              <w:pStyle w:val="Compact"/>
              <w:jc w:val="left"/>
            </w:pPr>
            <w:r>
              <w:t xml:space="preserve">18.95</w:t>
            </w:r>
          </w:p>
        </w:tc>
        <w:tc>
          <w:tcPr/>
          <w:p>
            <w:pPr>
              <w:pStyle w:val="Compact"/>
              <w:jc w:val="left"/>
            </w:pPr>
            <w:r>
              <w:t xml:space="preserve">19%</w:t>
            </w:r>
          </w:p>
        </w:tc>
        <w:tc>
          <w:tcPr/>
          <w:p>
            <w:pPr>
              <w:pStyle w:val="Compact"/>
              <w:jc w:val="left"/>
            </w:pPr>
            <w:r>
              <w:t xml:space="preserve">18.95</w:t>
            </w:r>
          </w:p>
        </w:tc>
      </w:tr>
      <w:tr>
        <w:tc>
          <w:tcPr/>
          <w:p>
            <w:pPr>
              <w:pStyle w:val="Compact"/>
              <w:jc w:val="left"/>
            </w:pPr>
            <w:r>
              <w:t xml:space="preserve">4</w:t>
            </w:r>
          </w:p>
        </w:tc>
        <w:tc>
          <w:tcPr/>
          <w:p>
            <w:pPr>
              <w:pStyle w:val="Compact"/>
              <w:jc w:val="left"/>
            </w:pPr>
            <w:r>
              <w:t xml:space="preserve">Vitamin D3 2000 IU Softgel Capsules – 60 capsules (Supplement)</w:t>
            </w:r>
          </w:p>
        </w:tc>
        <w:tc>
          <w:tcPr/>
          <w:p>
            <w:pPr>
              <w:pStyle w:val="Compact"/>
              <w:jc w:val="left"/>
            </w:pPr>
            <w:r>
              <w:t xml:space="preserve">030078901234</w:t>
            </w:r>
          </w:p>
        </w:tc>
        <w:tc>
          <w:tcPr/>
          <w:p>
            <w:pPr>
              <w:pStyle w:val="Compact"/>
              <w:jc w:val="left"/>
            </w:pPr>
            <w:r>
              <w:t xml:space="preserve">1 bottle</w:t>
            </w:r>
          </w:p>
        </w:tc>
        <w:tc>
          <w:tcPr/>
          <w:p>
            <w:pPr>
              <w:pStyle w:val="Compact"/>
              <w:jc w:val="left"/>
            </w:pPr>
            <w:r>
              <w:t xml:space="preserve">14.50</w:t>
            </w:r>
          </w:p>
        </w:tc>
        <w:tc>
          <w:tcPr/>
          <w:p>
            <w:pPr>
              <w:pStyle w:val="Compact"/>
              <w:jc w:val="left"/>
            </w:pPr>
            <w:r>
              <w:t xml:space="preserve">19%</w:t>
            </w:r>
          </w:p>
        </w:tc>
        <w:tc>
          <w:tcPr/>
          <w:p>
            <w:pPr>
              <w:pStyle w:val="Compact"/>
              <w:jc w:val="left"/>
            </w:pPr>
            <w:r>
              <w:t xml:space="preserve">14.50</w:t>
            </w:r>
          </w:p>
        </w:tc>
      </w:tr>
      <w:tr>
        <w:tc>
          <w:tcPr/>
          <w:p>
            <w:pPr>
              <w:pStyle w:val="Compact"/>
              <w:jc w:val="left"/>
            </w:pPr>
            <w:r>
              <w:t xml:space="preserve">5</w:t>
            </w:r>
          </w:p>
        </w:tc>
        <w:tc>
          <w:tcPr/>
          <w:p>
            <w:pPr>
              <w:pStyle w:val="Compact"/>
              <w:jc w:val="left"/>
            </w:pPr>
            <w:r>
              <w:t xml:space="preserve">Hydrocortisone Cream 1% – 30 g tube (Topical corticosteroid, prescribed)</w:t>
            </w:r>
          </w:p>
        </w:tc>
        <w:tc>
          <w:tcPr/>
          <w:p>
            <w:pPr>
              <w:pStyle w:val="Compact"/>
              <w:jc w:val="left"/>
            </w:pPr>
            <w:r>
              <w:t xml:space="preserve">030023456789</w:t>
            </w:r>
          </w:p>
        </w:tc>
        <w:tc>
          <w:tcPr/>
          <w:p>
            <w:pPr>
              <w:pStyle w:val="Compact"/>
              <w:jc w:val="left"/>
            </w:pPr>
            <w:r>
              <w:t xml:space="preserve">1 tube</w:t>
            </w:r>
          </w:p>
        </w:tc>
        <w:tc>
          <w:tcPr/>
          <w:p>
            <w:pPr>
              <w:pStyle w:val="Compact"/>
              <w:jc w:val="left"/>
            </w:pPr>
            <w:r>
              <w:t xml:space="preserve">8.75</w:t>
            </w:r>
          </w:p>
        </w:tc>
        <w:tc>
          <w:tcPr/>
          <w:p>
            <w:pPr>
              <w:pStyle w:val="Compact"/>
              <w:jc w:val="left"/>
            </w:pPr>
            <w:r>
              <w:t xml:space="preserve">19%</w:t>
            </w:r>
          </w:p>
        </w:tc>
        <w:tc>
          <w:tcPr/>
          <w:p>
            <w:pPr>
              <w:pStyle w:val="Compact"/>
              <w:jc w:val="left"/>
            </w:pPr>
            <w:r>
              <w:t xml:space="preserve">8.75</w:t>
            </w:r>
          </w:p>
        </w:tc>
      </w:tr>
      <w:tr>
        <w:tc>
          <w:tcPr/>
          <w:p>
            <w:pPr>
              <w:pStyle w:val="Compact"/>
              <w:jc w:val="left"/>
            </w:pPr>
            <w:r>
              <w:t xml:space="preserve">6</w:t>
            </w:r>
          </w:p>
        </w:tc>
        <w:tc>
          <w:tcPr/>
          <w:p>
            <w:pPr>
              <w:pStyle w:val="Compact"/>
              <w:jc w:val="left"/>
            </w:pPr>
            <w:r>
              <w:t xml:space="preserve">Pharmacy Consultation &amp; Medication Review Service</w:t>
            </w:r>
          </w:p>
        </w:tc>
        <w:tc>
          <w:tcPr/>
          <w:p>
            <w:pPr>
              <w:pStyle w:val="Compact"/>
              <w:jc w:val="left"/>
            </w:pPr>
            <w:r>
              <w:t xml:space="preserve">SVC-CONS-001</w:t>
            </w:r>
          </w:p>
        </w:tc>
        <w:tc>
          <w:tcPr/>
          <w:p>
            <w:pPr>
              <w:pStyle w:val="Compact"/>
              <w:jc w:val="left"/>
            </w:pPr>
            <w:r>
              <w:t xml:space="preserve">1 session</w:t>
            </w:r>
          </w:p>
        </w:tc>
        <w:tc>
          <w:tcPr/>
          <w:p>
            <w:pPr>
              <w:pStyle w:val="Compact"/>
              <w:jc w:val="left"/>
            </w:pPr>
            <w:r>
              <w:t xml:space="preserve">15.00</w:t>
            </w:r>
          </w:p>
        </w:tc>
        <w:tc>
          <w:tcPr/>
          <w:p>
            <w:pPr>
              <w:pStyle w:val="Compact"/>
              <w:jc w:val="left"/>
            </w:pPr>
            <w:r>
              <w:t xml:space="preserve">19%</w:t>
            </w:r>
          </w:p>
        </w:tc>
        <w:tc>
          <w:tcPr/>
          <w:p>
            <w:pPr>
              <w:pStyle w:val="Compact"/>
              <w:jc w:val="left"/>
            </w:pPr>
            <w:r>
              <w:t xml:space="preserve">15.00</w:t>
            </w:r>
          </w:p>
        </w:tc>
      </w:tr>
      <w:tr>
        <w:tc>
          <w:tcPr/>
          <w:p>
            <w:pPr>
              <w:pStyle w:val="Compact"/>
              <w:jc w:val="left"/>
            </w:pPr>
            <w:r>
              <w:t xml:space="preserve">7</w:t>
            </w:r>
          </w:p>
        </w:tc>
        <w:tc>
          <w:tcPr/>
          <w:p>
            <w:pPr>
              <w:pStyle w:val="Compact"/>
              <w:jc w:val="left"/>
            </w:pPr>
            <w:r>
              <w:t xml:space="preserve">Home Delivery Service within Frankfurt am Main city limits</w:t>
            </w:r>
          </w:p>
        </w:tc>
        <w:tc>
          <w:tcPr/>
          <w:p>
            <w:pPr>
              <w:pStyle w:val="Compact"/>
              <w:jc w:val="left"/>
            </w:pPr>
            <w:r>
              <w:t xml:space="preserve">SVC-DEL-001</w:t>
            </w:r>
          </w:p>
        </w:tc>
        <w:tc>
          <w:tcPr/>
          <w:p>
            <w:pPr>
              <w:pStyle w:val="Compact"/>
              <w:jc w:val="left"/>
            </w:pPr>
            <w:r>
              <w:t xml:space="preserve">1 delivery</w:t>
            </w:r>
          </w:p>
        </w:tc>
        <w:tc>
          <w:tcPr/>
          <w:p>
            <w:pPr>
              <w:pStyle w:val="Compact"/>
              <w:jc w:val="left"/>
            </w:pPr>
            <w:r>
              <w:t xml:space="preserve">4.90</w:t>
            </w:r>
          </w:p>
        </w:tc>
        <w:tc>
          <w:tcPr/>
          <w:p>
            <w:pPr>
              <w:pStyle w:val="Compact"/>
              <w:jc w:val="left"/>
            </w:pPr>
            <w:r>
              <w:t xml:space="preserve">19%</w:t>
            </w:r>
          </w:p>
        </w:tc>
        <w:tc>
          <w:tcPr/>
          <w:p>
            <w:pPr>
              <w:pStyle w:val="Compact"/>
              <w:jc w:val="left"/>
            </w:pPr>
            <w:r>
              <w:t xml:space="preserve">4.90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88.37 EUR</w:t>
            </w:r>
          </w:p>
        </w:tc>
      </w:tr>
      <w:tr>
        <w:tc>
          <w:tcPr/>
          <w:p>
            <w:pPr>
              <w:pStyle w:val="Compact"/>
              <w:jc w:val="left"/>
            </w:pPr>
            <w:r>
              <w:t xml:space="preserve">VAT (19% – German Value Added Tax)</w:t>
            </w:r>
          </w:p>
        </w:tc>
        <w:tc>
          <w:tcPr/>
          <w:p>
            <w:pPr>
              <w:pStyle w:val="Compact"/>
              <w:jc w:val="right"/>
            </w:pPr>
            <w:r>
              <w:t xml:space="preserve">16.79 EUR</w:t>
            </w:r>
          </w:p>
        </w:tc>
      </w:tr>
      <w:tr>
        <w:tc>
          <w:tcPr/>
          <w:p>
            <w:pPr>
              <w:pStyle w:val="Compact"/>
              <w:jc w:val="left"/>
            </w:pPr>
            <w:r>
              <w:t xml:space="preserve">Insurance Co-Payment (Zuzahlung)</w:t>
            </w:r>
          </w:p>
        </w:tc>
        <w:tc>
          <w:tcPr/>
          <w:p>
            <w:pPr>
              <w:pStyle w:val="Compact"/>
              <w:jc w:val="right"/>
            </w:pPr>
            <w:r>
              <w:t xml:space="preserve">-5.00 EUR</w:t>
            </w:r>
          </w:p>
        </w:tc>
      </w:tr>
      <w:tr>
        <w:tc>
          <w:tcPr/>
          <w:p>
            <w:pPr>
              <w:pStyle w:val="Compact"/>
              <w:jc w:val="left"/>
            </w:pPr>
            <w:r>
              <w:t xml:space="preserve">Grand Total Due</w:t>
            </w:r>
          </w:p>
        </w:tc>
        <w:tc>
          <w:tcPr/>
          <w:p>
            <w:pPr>
              <w:pStyle w:val="Compact"/>
              <w:jc w:val="right"/>
            </w:pPr>
            <w:r>
              <w:t xml:space="preserve">100.16 EUR</w:t>
            </w:r>
          </w:p>
        </w:tc>
      </w:tr>
    </w:tbl>
    <w:bookmarkStart w:id="24" w:name="important-notes-terms-of-this-invoice"/>
    <w:p>
      <w:pPr>
        <w:pStyle w:val="Heading3"/>
      </w:pPr>
      <w:r>
        <w:t xml:space="preserve">Important Notes &amp; Terms of This Invoice</w:t>
      </w:r>
    </w:p>
    <w:p>
      <w:pPr>
        <w:pStyle w:val="FirstParagraph"/>
      </w:pPr>
      <w:r>
        <w:rPr>
          <w:bCs/>
          <w:b/>
        </w:rPr>
        <w:t xml:space="preserve">1.</w:t>
      </w:r>
      <w:r>
        <w:t xml:space="preserve"> </w:t>
      </w:r>
      <w:r>
        <w:t xml:space="preserve">This invoice has been issued by Apotheke am Main, a licensed Chemist (pharmacy) operating in Frankfurt, Germany, in full compliance with the German Pharmacy Act (Apothekengesetz) and the regulations of the Hessian State Ministry of Health.</w:t>
      </w:r>
    </w:p>
    <w:p>
      <w:pPr>
        <w:pStyle w:val="BodyText"/>
      </w:pPr>
      <w:r>
        <w:rPr>
          <w:bCs/>
          <w:b/>
        </w:rPr>
        <w:t xml:space="preserve">2.</w:t>
      </w:r>
      <w:r>
        <w:t xml:space="preserve"> </w:t>
      </w:r>
      <w:r>
        <w:t xml:space="preserve">All prescription items listed on this invoice were dispensed in accordance with the valid prescription issued by Dr. med. Stefan Weber. The Chemist Frankfurt team verified the prescription authenticity and confirmed no drug interactions before dispensing.</w:t>
      </w:r>
    </w:p>
    <w:p>
      <w:pPr>
        <w:pStyle w:val="BodyText"/>
      </w:pPr>
      <w:r>
        <w:rPr>
          <w:bCs/>
          <w:b/>
        </w:rPr>
        <w:t xml:space="preserve">3.</w:t>
      </w:r>
      <w:r>
        <w:t xml:space="preserve"> </w:t>
      </w:r>
      <w:r>
        <w:t xml:space="preserve">The VAT rate of 19% applies to all pharmaceutical products and services as mandated by the German Fiscal Code (Abgabenordnung, § 12 UStG). Certain over-the-counter health products may be subject to the reduced rate of 7% where applicable under German tax law.</w:t>
      </w:r>
    </w:p>
    <w:p>
      <w:pPr>
        <w:pStyle w:val="BodyText"/>
      </w:pPr>
      <w:r>
        <w:rPr>
          <w:bCs/>
          <w:b/>
        </w:rPr>
        <w:t xml:space="preserve">4.</w:t>
      </w:r>
      <w:r>
        <w:t xml:space="preserve"> </w:t>
      </w:r>
      <w:r>
        <w:t xml:space="preserve">The insurance co-payment (Zuzahlung) of 5.00 EUR has been deducted in accordance with the German Social Code Book V (SGB V, § 302). The remaining balance is to be settled by the customer via SEPA bank transfer to the account details provided below.</w:t>
      </w:r>
    </w:p>
    <w:p>
      <w:pPr>
        <w:pStyle w:val="BodyText"/>
      </w:pPr>
      <w:r>
        <w:rPr>
          <w:bCs/>
          <w:b/>
        </w:rPr>
        <w:t xml:space="preserve">5.</w:t>
      </w:r>
      <w:r>
        <w:t xml:space="preserve"> </w:t>
      </w:r>
      <w:r>
        <w:t xml:space="preserve">Payment is due within 30 calendar days from the date of issue. Late payments may incur statutory interest at the rate of 5 percentage points above the European Central Bank base rate, as per German commercial law (HGB § 288).</w:t>
      </w:r>
    </w:p>
    <w:p>
      <w:pPr>
        <w:pStyle w:val="BodyText"/>
      </w:pPr>
      <w:r>
        <w:rPr>
          <w:bCs/>
          <w:b/>
        </w:rPr>
        <w:t xml:space="preserve">6.</w:t>
      </w:r>
      <w:r>
        <w:t xml:space="preserve"> </w:t>
      </w:r>
      <w:r>
        <w:t xml:space="preserve">This invoice serves as the official receipt for all products and services rendered by our Chemist in Frankfurt am Main. Please retain this document for your personal records, insurance claims, or tax purposes. A digital copy is available upon request via our secure patient portal.</w:t>
      </w:r>
    </w:p>
    <w:p>
      <w:pPr>
        <w:pStyle w:val="BodyText"/>
      </w:pPr>
      <w:r>
        <w:rPr>
          <w:bCs/>
          <w:b/>
        </w:rPr>
        <w:t xml:space="preserve">7.</w:t>
      </w:r>
      <w:r>
        <w:t xml:space="preserve"> </w:t>
      </w:r>
      <w:r>
        <w:t xml:space="preserve">In the event of any discrepancy or question regarding this invoice, please contact our pharmacy team at the address or phone number listed above. Our customer service is available Monday through Friday, 08:00–18:30, and Saturday 08:00–13:00, local time in Frankfurt, Germany.</w:t>
      </w:r>
    </w:p>
    <w:bookmarkEnd w:id="24"/>
    <w:p>
      <w:pPr>
        <w:pStyle w:val="BodyText"/>
      </w:pPr>
      <w:r>
        <w:rPr>
          <w:bCs/>
          <w:b/>
        </w:rPr>
        <w:t xml:space="preserve">Apotheke am Main – Chemist Frankfurt</w:t>
      </w:r>
      <w:r>
        <w:t xml:space="preserve"> </w:t>
      </w:r>
      <w:r>
        <w:t xml:space="preserve">| Mainstraße 142, 60311 Frankfurt am Main, Germany</w:t>
      </w:r>
    </w:p>
    <w:p>
      <w:pPr>
        <w:pStyle w:val="BodyText"/>
      </w:pPr>
      <w:r>
        <w:t xml:space="preserve">Bank: Commerzbank AG, Frankfurt | IBAN: DE89 3704 0044 0532 0100 00 | BIC: COBADEFFXXX</w:t>
      </w:r>
    </w:p>
    <w:p>
      <w:pPr>
        <w:pStyle w:val="BodyText"/>
      </w:pPr>
      <w:r>
        <w:t xml:space="preserve">Registered at: Amtsgericht Frankfurt am Main, HRB 88234 | Managing Director: Pharm. Dr. Anja Schneider</w:t>
      </w:r>
    </w:p>
    <w:p>
      <w:pPr>
        <w:pStyle w:val="BodyText"/>
      </w:pPr>
      <w:r>
        <w:t xml:space="preserve">This invoice was generated electronically and is valid without a physical signature in accordance with § 146a AO (German Fiscal Code).</w:t>
      </w:r>
    </w:p>
    <w:p>
      <w:pPr>
        <w:pStyle w:val="BodyText"/>
      </w:pPr>
      <w:r>
        <w:t xml:space="preserve">© 2025 Apotheke am Main – Chemist Frankfurt, Germany.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Frankfurt, Germany</dc:title>
  <dc:creator/>
  <dc:language>en</dc:language>
  <cp:keywords/>
  <dcterms:created xsi:type="dcterms:W3CDTF">2026-10-10T06:20:31Z</dcterms:created>
  <dcterms:modified xsi:type="dcterms:W3CDTF">2026-10-10T06:20:31Z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