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Farmacia</w:t>
      </w:r>
      <w:r>
        <w:t xml:space="preserve"> </w:t>
      </w:r>
      <w:r>
        <w:t xml:space="preserve">Chimica</w:t>
      </w:r>
      <w:r>
        <w:t xml:space="preserve"> </w:t>
      </w:r>
      <w:r>
        <w:t xml:space="preserve">di</w:t>
      </w:r>
      <w:r>
        <w:t xml:space="preserve"> </w:t>
      </w:r>
      <w:r>
        <w:t xml:space="preserve">Roma</w:t>
      </w:r>
    </w:p>
    <w:bookmarkStart w:id="20" w:name="farmacia-chimica-di-roma"/>
    <w:p>
      <w:pPr>
        <w:pStyle w:val="Heading1"/>
      </w:pPr>
      <w:r>
        <w:t xml:space="preserve">Farmacia Chimica di Roma</w:t>
      </w:r>
    </w:p>
    <w:p>
      <w:pPr>
        <w:pStyle w:val="FirstParagraph"/>
      </w:pPr>
      <w:r>
        <w:rPr>
          <w:bCs/>
          <w:b/>
        </w:rPr>
        <w:t xml:space="preserve">Chemist &amp; Pharmaceutical Dispensary</w:t>
      </w:r>
    </w:p>
    <w:p>
      <w:pPr>
        <w:pStyle w:val="BodyText"/>
      </w:pPr>
      <w:r>
        <w:t xml:space="preserve">Via del Corso, 142 – 00186 Roma (RM), Italy</w:t>
      </w:r>
    </w:p>
    <w:p>
      <w:pPr>
        <w:pStyle w:val="BodyText"/>
      </w:pPr>
      <w:r>
        <w:t xml:space="preserve">Partita IVA: IT01234567890</w:t>
      </w:r>
    </w:p>
    <w:p>
      <w:pPr>
        <w:pStyle w:val="BodyText"/>
      </w:pPr>
      <w:r>
        <w:t xml:space="preserve">Codice Fiscale: 12345678901</w:t>
      </w:r>
    </w:p>
    <w:p>
      <w:pPr>
        <w:pStyle w:val="BodyText"/>
      </w:pPr>
      <w:r>
        <w:t xml:space="preserve">Albo Farmacisti di Roma – Reg. n. 4521</w:t>
      </w:r>
    </w:p>
    <w:p>
      <w:pPr>
        <w:pStyle w:val="BodyText"/>
      </w:pPr>
      <w:r>
        <w:t xml:space="preserve">Tel: +39 06 4876 5432 | Email: info@farmachimicadioroma.it</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FCR/2025/00487</w:t>
      </w:r>
    </w:p>
    <w:p>
      <w:pPr>
        <w:pStyle w:val="BodyText"/>
      </w:pPr>
      <w:r>
        <w:rPr>
          <w:bCs/>
          <w:b/>
        </w:rPr>
        <w:t xml:space="preserve">Date of Issue:</w:t>
      </w:r>
      <w:r>
        <w:t xml:space="preserve"> </w:t>
      </w:r>
      <w:r>
        <w:t xml:space="preserve">14 June 2025</w:t>
      </w:r>
    </w:p>
    <w:p>
      <w:pPr>
        <w:pStyle w:val="BodyText"/>
      </w:pPr>
      <w:r>
        <w:rPr>
          <w:bCs/>
          <w:b/>
        </w:rPr>
        <w:t xml:space="preserve">Due Date:</w:t>
      </w:r>
      <w:r>
        <w:t xml:space="preserve"> </w:t>
      </w:r>
      <w:r>
        <w:t xml:space="preserve">14 June 2025 (Immediate)</w:t>
      </w:r>
    </w:p>
    <w:p>
      <w:pPr>
        <w:pStyle w:val="BodyText"/>
      </w:pPr>
      <w:r>
        <w:rPr>
          <w:bCs/>
          <w:b/>
        </w:rPr>
        <w:t xml:space="preserve">Place of Issue:</w:t>
      </w:r>
      <w:r>
        <w:t xml:space="preserve"> </w:t>
      </w:r>
      <w:r>
        <w:t xml:space="preserve">Rome, Italy</w:t>
      </w:r>
    </w:p>
    <w:bookmarkEnd w:id="21"/>
    <w:bookmarkStart w:id="24" w:name="invoice-details"/>
    <w:p>
      <w:pPr>
        <w:pStyle w:val="Heading3"/>
      </w:pPr>
      <w:r>
        <w:t xml:space="preserve">Invoice Details</w:t>
      </w:r>
    </w:p>
    <w:bookmarkStart w:id="22" w:name="supplier-chemist-pharmacy"/>
    <w:p>
      <w:pPr>
        <w:pStyle w:val="Heading4"/>
      </w:pPr>
      <w:r>
        <w:t xml:space="preserve">Supplier (Chemist / Pharmacy)</w:t>
      </w:r>
    </w:p>
    <w:p>
      <w:pPr>
        <w:pStyle w:val="FirstParagraph"/>
      </w:pPr>
      <w:r>
        <w:rPr>
          <w:bCs/>
          <w:b/>
        </w:rPr>
        <w:t xml:space="preserve">Farmacia Chimica di Roma S.r.l.</w:t>
      </w:r>
    </w:p>
    <w:p>
      <w:pPr>
        <w:pStyle w:val="BodyText"/>
      </w:pPr>
      <w:r>
        <w:t xml:space="preserve">Via del Corso, 142</w:t>
      </w:r>
    </w:p>
    <w:p>
      <w:pPr>
        <w:pStyle w:val="BodyText"/>
      </w:pPr>
      <w:r>
        <w:t xml:space="preserve">00186 Roma (RM), Italy</w:t>
      </w:r>
    </w:p>
    <w:p>
      <w:pPr>
        <w:pStyle w:val="BodyText"/>
      </w:pPr>
      <w:r>
        <w:t xml:space="preserve">Pharmacist in Charge: Dott.ssa Elena Marchetti</w:t>
      </w:r>
    </w:p>
    <w:p>
      <w:pPr>
        <w:pStyle w:val="BodyText"/>
      </w:pPr>
      <w:r>
        <w:t xml:space="preserve">License No. RM-2019-0087</w:t>
      </w:r>
    </w:p>
    <w:p>
      <w:pPr>
        <w:pStyle w:val="BodyText"/>
      </w:pPr>
      <w:r>
        <w:t xml:space="preserve">Chamber of Commerce of Rome: REA RM-1234567</w:t>
      </w:r>
    </w:p>
    <w:bookmarkEnd w:id="22"/>
    <w:bookmarkStart w:id="23" w:name="customer-purchaser"/>
    <w:p>
      <w:pPr>
        <w:pStyle w:val="Heading4"/>
      </w:pPr>
      <w:r>
        <w:t xml:space="preserve">Customer (Purchaser)</w:t>
      </w:r>
    </w:p>
    <w:p>
      <w:pPr>
        <w:pStyle w:val="FirstParagraph"/>
      </w:pPr>
      <w:r>
        <w:rPr>
          <w:bCs/>
          <w:b/>
        </w:rPr>
        <w:t xml:space="preserve">Signor Marco Bianchi</w:t>
      </w:r>
    </w:p>
    <w:p>
      <w:pPr>
        <w:pStyle w:val="BodyText"/>
      </w:pPr>
      <w:r>
        <w:t xml:space="preserve">Via Appia Nuova, 87</w:t>
      </w:r>
    </w:p>
    <w:p>
      <w:pPr>
        <w:pStyle w:val="BodyText"/>
      </w:pPr>
      <w:r>
        <w:t xml:space="preserve">00179 Roma (RM), Italy</w:t>
      </w:r>
    </w:p>
    <w:p>
      <w:pPr>
        <w:pStyle w:val="BodyText"/>
      </w:pPr>
      <w:r>
        <w:t xml:space="preserve">Codice Fiscale: BIANCM85A01H501Z</w:t>
      </w:r>
    </w:p>
    <w:p>
      <w:pPr>
        <w:pStyle w:val="BodyText"/>
      </w:pPr>
      <w:r>
        <w:t xml:space="preserve">SSN (Tessera Sanitaria): TS-9876543210</w:t>
      </w:r>
    </w:p>
    <w:p>
      <w:pPr>
        <w:pStyle w:val="BodyText"/>
      </w:pPr>
      <w:r>
        <w:t xml:space="preserve">Prescription Ref: RX-2025-003421</w:t>
      </w:r>
    </w:p>
    <w:bookmarkEnd w:id="23"/>
    <w:bookmarkEnd w:id="24"/>
    <w:bookmarkStart w:id="25" w:name="Xc6cf9ad1f64e44dcb8a6f7112fbec4c4c82502f"/>
    <w:p>
      <w:pPr>
        <w:pStyle w:val="Heading3"/>
      </w:pPr>
      <w:r>
        <w:t xml:space="preserve">Line Items – Pharmaceutical Products Dispensed</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Product Description</w:t>
            </w:r>
          </w:p>
        </w:tc>
        <w:tc>
          <w:tcPr/>
          <w:p>
            <w:pPr>
              <w:pStyle w:val="Compact"/>
              <w:jc w:val="left"/>
            </w:pPr>
            <w:r>
              <w:t xml:space="preserve">ATC Code / EAN</w:t>
            </w:r>
          </w:p>
        </w:tc>
        <w:tc>
          <w:tcPr/>
          <w:p>
            <w:pPr>
              <w:pStyle w:val="Compact"/>
              <w:jc w:val="left"/>
            </w:pPr>
            <w:r>
              <w:t xml:space="preserve">Qty</w:t>
            </w:r>
          </w:p>
        </w:tc>
        <w:tc>
          <w:tcPr/>
          <w:p>
            <w:pPr>
              <w:pStyle w:val="Compact"/>
              <w:jc w:val="left"/>
            </w:pPr>
            <w:r>
              <w:t xml:space="preserve">Unit Price (€)</w:t>
            </w:r>
          </w:p>
        </w:tc>
        <w:tc>
          <w:tcPr/>
          <w:p>
            <w:pPr>
              <w:pStyle w:val="Compact"/>
              <w:jc w:val="left"/>
            </w:pPr>
            <w:r>
              <w:t xml:space="preserve">IVA %</w:t>
            </w:r>
          </w:p>
        </w:tc>
        <w:tc>
          <w:tcPr/>
          <w:p>
            <w:pPr>
              <w:pStyle w:val="Compact"/>
              <w:jc w:val="left"/>
            </w:pPr>
            <w:r>
              <w:t xml:space="preserve">Total (€)</w:t>
            </w:r>
          </w:p>
        </w:tc>
      </w:tr>
      <w:tr>
        <w:tc>
          <w:tcPr/>
          <w:p>
            <w:pPr>
              <w:pStyle w:val="Compact"/>
              <w:jc w:val="left"/>
            </w:pPr>
            <w:r>
              <w:t xml:space="preserve">1</w:t>
            </w:r>
          </w:p>
        </w:tc>
        <w:tc>
          <w:tcPr/>
          <w:p>
            <w:pPr>
              <w:pStyle w:val="Compact"/>
              <w:jc w:val="left"/>
            </w:pPr>
            <w:r>
              <w:t xml:space="preserve">Amoxicillin 500 mg Capsules – 21 caps (Prescription)</w:t>
            </w:r>
          </w:p>
        </w:tc>
        <w:tc>
          <w:tcPr/>
          <w:p>
            <w:pPr>
              <w:pStyle w:val="Compact"/>
              <w:jc w:val="left"/>
            </w:pPr>
            <w:r>
              <w:t xml:space="preserve">J01CA04 / 8033521001</w:t>
            </w:r>
          </w:p>
        </w:tc>
        <w:tc>
          <w:tcPr/>
          <w:p>
            <w:pPr>
              <w:pStyle w:val="Compact"/>
              <w:jc w:val="left"/>
            </w:pPr>
            <w:r>
              <w:t xml:space="preserve">1</w:t>
            </w:r>
          </w:p>
        </w:tc>
        <w:tc>
          <w:tcPr/>
          <w:p>
            <w:pPr>
              <w:pStyle w:val="Compact"/>
              <w:jc w:val="left"/>
            </w:pPr>
            <w:r>
              <w:t xml:space="preserve">12.40</w:t>
            </w:r>
          </w:p>
        </w:tc>
        <w:tc>
          <w:tcPr/>
          <w:p>
            <w:pPr>
              <w:pStyle w:val="Compact"/>
              <w:jc w:val="left"/>
            </w:pPr>
            <w:r>
              <w:t xml:space="preserve">22%</w:t>
            </w:r>
          </w:p>
        </w:tc>
        <w:tc>
          <w:tcPr/>
          <w:p>
            <w:pPr>
              <w:pStyle w:val="Compact"/>
              <w:jc w:val="left"/>
            </w:pPr>
            <w:r>
              <w:t xml:space="preserve">15.13</w:t>
            </w:r>
          </w:p>
        </w:tc>
      </w:tr>
      <w:tr>
        <w:tc>
          <w:tcPr/>
          <w:p>
            <w:pPr>
              <w:pStyle w:val="Compact"/>
              <w:jc w:val="left"/>
            </w:pPr>
            <w:r>
              <w:t xml:space="preserve">2</w:t>
            </w:r>
          </w:p>
        </w:tc>
        <w:tc>
          <w:tcPr/>
          <w:p>
            <w:pPr>
              <w:pStyle w:val="Compact"/>
              <w:jc w:val="left"/>
            </w:pPr>
            <w:r>
              <w:t xml:space="preserve">Ibuprofen 400 mg Tablets – 20 tabs (OTC)</w:t>
            </w:r>
          </w:p>
        </w:tc>
        <w:tc>
          <w:tcPr/>
          <w:p>
            <w:pPr>
              <w:pStyle w:val="Compact"/>
              <w:jc w:val="left"/>
            </w:pPr>
            <w:r>
              <w:t xml:space="preserve">M01AE01 / 8033521002</w:t>
            </w:r>
          </w:p>
        </w:tc>
        <w:tc>
          <w:tcPr/>
          <w:p>
            <w:pPr>
              <w:pStyle w:val="Compact"/>
              <w:jc w:val="left"/>
            </w:pPr>
            <w:r>
              <w:t xml:space="preserve">2</w:t>
            </w:r>
          </w:p>
        </w:tc>
        <w:tc>
          <w:tcPr/>
          <w:p>
            <w:pPr>
              <w:pStyle w:val="Compact"/>
              <w:jc w:val="left"/>
            </w:pPr>
            <w:r>
              <w:t xml:space="preserve">4.85</w:t>
            </w:r>
          </w:p>
        </w:tc>
        <w:tc>
          <w:tcPr/>
          <w:p>
            <w:pPr>
              <w:pStyle w:val="Compact"/>
              <w:jc w:val="left"/>
            </w:pPr>
            <w:r>
              <w:t xml:space="preserve">22%</w:t>
            </w:r>
          </w:p>
        </w:tc>
        <w:tc>
          <w:tcPr/>
          <w:p>
            <w:pPr>
              <w:pStyle w:val="Compact"/>
              <w:jc w:val="left"/>
            </w:pPr>
            <w:r>
              <w:t xml:space="preserve">11.83</w:t>
            </w:r>
          </w:p>
        </w:tc>
      </w:tr>
      <w:tr>
        <w:tc>
          <w:tcPr/>
          <w:p>
            <w:pPr>
              <w:pStyle w:val="Compact"/>
              <w:jc w:val="left"/>
            </w:pPr>
            <w:r>
              <w:t xml:space="preserve">3</w:t>
            </w:r>
          </w:p>
        </w:tc>
        <w:tc>
          <w:tcPr/>
          <w:p>
            <w:pPr>
              <w:pStyle w:val="Compact"/>
              <w:jc w:val="left"/>
            </w:pPr>
            <w:r>
              <w:t xml:space="preserve">Omeprazole 20 mg Gastro-resistant Capsules – 28 caps (Prescription)</w:t>
            </w:r>
          </w:p>
        </w:tc>
        <w:tc>
          <w:tcPr/>
          <w:p>
            <w:pPr>
              <w:pStyle w:val="Compact"/>
              <w:jc w:val="left"/>
            </w:pPr>
            <w:r>
              <w:t xml:space="preserve">A02BC01 / 8033521003</w:t>
            </w:r>
          </w:p>
        </w:tc>
        <w:tc>
          <w:tcPr/>
          <w:p>
            <w:pPr>
              <w:pStyle w:val="Compact"/>
              <w:jc w:val="left"/>
            </w:pPr>
            <w:r>
              <w:t xml:space="preserve">1</w:t>
            </w:r>
          </w:p>
        </w:tc>
        <w:tc>
          <w:tcPr/>
          <w:p>
            <w:pPr>
              <w:pStyle w:val="Compact"/>
              <w:jc w:val="left"/>
            </w:pPr>
            <w:r>
              <w:t xml:space="preserve">9.60</w:t>
            </w:r>
          </w:p>
        </w:tc>
        <w:tc>
          <w:tcPr/>
          <w:p>
            <w:pPr>
              <w:pStyle w:val="Compact"/>
              <w:jc w:val="left"/>
            </w:pPr>
            <w:r>
              <w:t xml:space="preserve">22%</w:t>
            </w:r>
          </w:p>
        </w:tc>
        <w:tc>
          <w:tcPr/>
          <w:p>
            <w:pPr>
              <w:pStyle w:val="Compact"/>
              <w:jc w:val="left"/>
            </w:pPr>
            <w:r>
              <w:t xml:space="preserve">11.71</w:t>
            </w:r>
          </w:p>
        </w:tc>
      </w:tr>
      <w:tr>
        <w:tc>
          <w:tcPr/>
          <w:p>
            <w:pPr>
              <w:pStyle w:val="Compact"/>
              <w:jc w:val="left"/>
            </w:pPr>
            <w:r>
              <w:t xml:space="preserve">4</w:t>
            </w:r>
          </w:p>
        </w:tc>
        <w:tc>
          <w:tcPr/>
          <w:p>
            <w:pPr>
              <w:pStyle w:val="Compact"/>
              <w:jc w:val="left"/>
            </w:pPr>
            <w:r>
              <w:t xml:space="preserve">Salbutamol 100 mcg Inhaler – 200 doses (Prescription)</w:t>
            </w:r>
          </w:p>
        </w:tc>
        <w:tc>
          <w:tcPr/>
          <w:p>
            <w:pPr>
              <w:pStyle w:val="Compact"/>
              <w:jc w:val="left"/>
            </w:pPr>
            <w:r>
              <w:t xml:space="preserve">R03AC01 / 8033521004</w:t>
            </w:r>
          </w:p>
        </w:tc>
        <w:tc>
          <w:tcPr/>
          <w:p>
            <w:pPr>
              <w:pStyle w:val="Compact"/>
              <w:jc w:val="left"/>
            </w:pPr>
            <w:r>
              <w:t xml:space="preserve">1</w:t>
            </w:r>
          </w:p>
        </w:tc>
        <w:tc>
          <w:tcPr/>
          <w:p>
            <w:pPr>
              <w:pStyle w:val="Compact"/>
              <w:jc w:val="left"/>
            </w:pPr>
            <w:r>
              <w:t xml:space="preserve">14.20</w:t>
            </w:r>
          </w:p>
        </w:tc>
        <w:tc>
          <w:tcPr/>
          <w:p>
            <w:pPr>
              <w:pStyle w:val="Compact"/>
              <w:jc w:val="left"/>
            </w:pPr>
            <w:r>
              <w:t xml:space="preserve">22%</w:t>
            </w:r>
          </w:p>
        </w:tc>
        <w:tc>
          <w:tcPr/>
          <w:p>
            <w:pPr>
              <w:pStyle w:val="Compact"/>
              <w:jc w:val="left"/>
            </w:pPr>
            <w:r>
              <w:t xml:space="preserve">17.32</w:t>
            </w:r>
          </w:p>
        </w:tc>
      </w:tr>
      <w:tr>
        <w:tc>
          <w:tcPr/>
          <w:p>
            <w:pPr>
              <w:pStyle w:val="Compact"/>
              <w:jc w:val="left"/>
            </w:pPr>
            <w:r>
              <w:t xml:space="preserve">5</w:t>
            </w:r>
          </w:p>
        </w:tc>
        <w:tc>
          <w:tcPr/>
          <w:p>
            <w:pPr>
              <w:pStyle w:val="Compact"/>
              <w:jc w:val="left"/>
            </w:pPr>
            <w:r>
              <w:t xml:space="preserve">Vitamin D3 1000 IU Softgels – 60 caps (Supplement)</w:t>
            </w:r>
          </w:p>
        </w:tc>
        <w:tc>
          <w:tcPr/>
          <w:p>
            <w:pPr>
              <w:pStyle w:val="Compact"/>
              <w:jc w:val="left"/>
            </w:pPr>
            <w:r>
              <w:t xml:space="preserve">A11CC05 / 8033521005</w:t>
            </w:r>
          </w:p>
        </w:tc>
        <w:tc>
          <w:tcPr/>
          <w:p>
            <w:pPr>
              <w:pStyle w:val="Compact"/>
              <w:jc w:val="left"/>
            </w:pPr>
            <w:r>
              <w:t xml:space="preserve">1</w:t>
            </w:r>
          </w:p>
        </w:tc>
        <w:tc>
          <w:tcPr/>
          <w:p>
            <w:pPr>
              <w:pStyle w:val="Compact"/>
              <w:jc w:val="left"/>
            </w:pPr>
            <w:r>
              <w:t xml:space="preserve">18.90</w:t>
            </w:r>
          </w:p>
        </w:tc>
        <w:tc>
          <w:tcPr/>
          <w:p>
            <w:pPr>
              <w:pStyle w:val="Compact"/>
              <w:jc w:val="left"/>
            </w:pPr>
            <w:r>
              <w:t xml:space="preserve">22%</w:t>
            </w:r>
          </w:p>
        </w:tc>
        <w:tc>
          <w:tcPr/>
          <w:p>
            <w:pPr>
              <w:pStyle w:val="Compact"/>
              <w:jc w:val="left"/>
            </w:pPr>
            <w:r>
              <w:t xml:space="preserve">23.06</w:t>
            </w:r>
          </w:p>
        </w:tc>
      </w:tr>
      <w:tr>
        <w:tc>
          <w:tcPr/>
          <w:p>
            <w:pPr>
              <w:pStyle w:val="Compact"/>
              <w:jc w:val="left"/>
            </w:pPr>
            <w:r>
              <w:t xml:space="preserve">6</w:t>
            </w:r>
          </w:p>
        </w:tc>
        <w:tc>
          <w:tcPr/>
          <w:p>
            <w:pPr>
              <w:pStyle w:val="Compact"/>
              <w:jc w:val="left"/>
            </w:pPr>
            <w:r>
              <w:t xml:space="preserve">Hydrocortisone Cream 1% – 30 g tube (OTC)</w:t>
            </w:r>
          </w:p>
        </w:tc>
        <w:tc>
          <w:tcPr/>
          <w:p>
            <w:pPr>
              <w:pStyle w:val="Compact"/>
              <w:jc w:val="left"/>
            </w:pPr>
            <w:r>
              <w:t xml:space="preserve">D07AA01 / 8033521006</w:t>
            </w:r>
          </w:p>
        </w:tc>
        <w:tc>
          <w:tcPr/>
          <w:p>
            <w:pPr>
              <w:pStyle w:val="Compact"/>
              <w:jc w:val="left"/>
            </w:pPr>
            <w:r>
              <w:t xml:space="preserve">1</w:t>
            </w:r>
          </w:p>
        </w:tc>
        <w:tc>
          <w:tcPr/>
          <w:p>
            <w:pPr>
              <w:pStyle w:val="Compact"/>
              <w:jc w:val="left"/>
            </w:pPr>
            <w:r>
              <w:t xml:space="preserve">6.30</w:t>
            </w:r>
          </w:p>
        </w:tc>
        <w:tc>
          <w:tcPr/>
          <w:p>
            <w:pPr>
              <w:pStyle w:val="Compact"/>
              <w:jc w:val="left"/>
            </w:pPr>
            <w:r>
              <w:t xml:space="preserve">22%</w:t>
            </w:r>
          </w:p>
        </w:tc>
        <w:tc>
          <w:tcPr/>
          <w:p>
            <w:pPr>
              <w:pStyle w:val="Compact"/>
              <w:jc w:val="left"/>
            </w:pPr>
            <w:r>
              <w:t xml:space="preserve">7.69</w:t>
            </w:r>
          </w:p>
        </w:tc>
      </w:tr>
      <w:tr>
        <w:tc>
          <w:tcPr/>
          <w:p>
            <w:pPr>
              <w:pStyle w:val="Compact"/>
              <w:jc w:val="left"/>
            </w:pPr>
            <w:r>
              <w:t xml:space="preserve">7</w:t>
            </w:r>
          </w:p>
        </w:tc>
        <w:tc>
          <w:tcPr/>
          <w:p>
            <w:pPr>
              <w:pStyle w:val="Compact"/>
              <w:jc w:val="left"/>
            </w:pPr>
            <w:r>
              <w:t xml:space="preserve">Paracetamol 500 mg Effervescent Tablets – 20 tabs (OTC)</w:t>
            </w:r>
          </w:p>
        </w:tc>
        <w:tc>
          <w:tcPr/>
          <w:p>
            <w:pPr>
              <w:pStyle w:val="Compact"/>
              <w:jc w:val="left"/>
            </w:pPr>
            <w:r>
              <w:t xml:space="preserve">N02BE01 / 8033521007</w:t>
            </w:r>
          </w:p>
        </w:tc>
        <w:tc>
          <w:tcPr/>
          <w:p>
            <w:pPr>
              <w:pStyle w:val="Compact"/>
              <w:jc w:val="left"/>
            </w:pPr>
            <w:r>
              <w:t xml:space="preserve">1</w:t>
            </w:r>
          </w:p>
        </w:tc>
        <w:tc>
          <w:tcPr/>
          <w:p>
            <w:pPr>
              <w:pStyle w:val="Compact"/>
              <w:jc w:val="left"/>
            </w:pPr>
            <w:r>
              <w:t xml:space="preserve">3.20</w:t>
            </w:r>
          </w:p>
        </w:tc>
        <w:tc>
          <w:tcPr/>
          <w:p>
            <w:pPr>
              <w:pStyle w:val="Compact"/>
              <w:jc w:val="left"/>
            </w:pPr>
            <w:r>
              <w:t xml:space="preserve">22%</w:t>
            </w:r>
          </w:p>
        </w:tc>
        <w:tc>
          <w:tcPr/>
          <w:p>
            <w:pPr>
              <w:pStyle w:val="Compact"/>
              <w:jc w:val="left"/>
            </w:pPr>
            <w:r>
              <w:t xml:space="preserve">3.90</w:t>
            </w:r>
          </w:p>
        </w:tc>
      </w:tr>
      <w:tr>
        <w:tc>
          <w:tcPr/>
          <w:p>
            <w:pPr>
              <w:pStyle w:val="Compact"/>
              <w:jc w:val="left"/>
            </w:pPr>
            <w:r>
              <w:t xml:space="preserve">8</w:t>
            </w:r>
          </w:p>
        </w:tc>
        <w:tc>
          <w:tcPr/>
          <w:p>
            <w:pPr>
              <w:pStyle w:val="Compact"/>
              <w:jc w:val="left"/>
            </w:pPr>
            <w:r>
              <w:t xml:space="preserve">Oral Rehydration Salts (ORS) – 20 sachets (OTC)</w:t>
            </w:r>
          </w:p>
        </w:tc>
        <w:tc>
          <w:tcPr/>
          <w:p>
            <w:pPr>
              <w:pStyle w:val="Compact"/>
              <w:jc w:val="left"/>
            </w:pPr>
            <w:r>
              <w:t xml:space="preserve">A09BB / 8033521008</w:t>
            </w:r>
          </w:p>
        </w:tc>
        <w:tc>
          <w:tcPr/>
          <w:p>
            <w:pPr>
              <w:pStyle w:val="Compact"/>
              <w:jc w:val="left"/>
            </w:pPr>
            <w:r>
              <w:t xml:space="preserve">1</w:t>
            </w:r>
          </w:p>
        </w:tc>
        <w:tc>
          <w:tcPr/>
          <w:p>
            <w:pPr>
              <w:pStyle w:val="Compact"/>
              <w:jc w:val="left"/>
            </w:pPr>
            <w:r>
              <w:t xml:space="preserve">7.50</w:t>
            </w:r>
          </w:p>
        </w:tc>
        <w:tc>
          <w:tcPr/>
          <w:p>
            <w:pPr>
              <w:pStyle w:val="Compact"/>
              <w:jc w:val="left"/>
            </w:pPr>
            <w:r>
              <w:t xml:space="preserve">22%</w:t>
            </w:r>
          </w:p>
        </w:tc>
        <w:tc>
          <w:tcPr/>
          <w:p>
            <w:pPr>
              <w:pStyle w:val="Compact"/>
              <w:jc w:val="left"/>
            </w:pPr>
            <w:r>
              <w:t xml:space="preserve">9.15</w:t>
            </w:r>
          </w:p>
        </w:tc>
      </w:tr>
    </w:tbl>
    <w:bookmarkEnd w:id="25"/>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 Amount)</w:t>
            </w:r>
          </w:p>
        </w:tc>
        <w:tc>
          <w:tcPr/>
          <w:p>
            <w:pPr>
              <w:pStyle w:val="Compact"/>
              <w:jc w:val="left"/>
            </w:pPr>
            <w:r>
              <w:t xml:space="preserve">€ 76.95</w:t>
            </w:r>
          </w:p>
        </w:tc>
      </w:tr>
      <w:tr>
        <w:tc>
          <w:tcPr/>
          <w:p>
            <w:pPr>
              <w:pStyle w:val="Compact"/>
              <w:jc w:val="left"/>
            </w:pPr>
            <w:r>
              <w:t xml:space="preserve">IVA 22% (Italian VAT)</w:t>
            </w:r>
          </w:p>
        </w:tc>
        <w:tc>
          <w:tcPr/>
          <w:p>
            <w:pPr>
              <w:pStyle w:val="Compact"/>
              <w:jc w:val="left"/>
            </w:pPr>
            <w:r>
              <w:t xml:space="preserve">€ 16.93</w:t>
            </w:r>
          </w:p>
        </w:tc>
      </w:tr>
      <w:tr>
        <w:tc>
          <w:tcPr/>
          <w:p>
            <w:pPr>
              <w:pStyle w:val="Compact"/>
              <w:jc w:val="left"/>
            </w:pPr>
            <w:r>
              <w:t xml:space="preserve">SSN Co-payment (Ticket)</w:t>
            </w:r>
          </w:p>
        </w:tc>
        <w:tc>
          <w:tcPr/>
          <w:p>
            <w:pPr>
              <w:pStyle w:val="Compact"/>
              <w:jc w:val="left"/>
            </w:pPr>
            <w:r>
              <w:t xml:space="preserve">– € 4.80</w:t>
            </w:r>
          </w:p>
        </w:tc>
      </w:tr>
      <w:tr>
        <w:tc>
          <w:tcPr/>
          <w:p>
            <w:pPr>
              <w:pStyle w:val="Compact"/>
              <w:jc w:val="left"/>
            </w:pPr>
            <w:r>
              <w:t xml:space="preserve">GRAND TOTAL DUE</w:t>
            </w:r>
          </w:p>
        </w:tc>
        <w:tc>
          <w:tcPr/>
          <w:p>
            <w:pPr>
              <w:pStyle w:val="Compact"/>
              <w:jc w:val="left"/>
            </w:pPr>
            <w:r>
              <w:t xml:space="preserve">€ 89.08</w:t>
            </w:r>
          </w:p>
        </w:tc>
      </w:tr>
    </w:tbl>
    <w:bookmarkStart w:id="26" w:name="notes-payment-terms"/>
    <w:p>
      <w:pPr>
        <w:pStyle w:val="Heading4"/>
      </w:pPr>
      <w:r>
        <w:t xml:space="preserve">Notes &amp; Payment Terms</w:t>
      </w:r>
    </w:p>
    <w:p>
      <w:pPr>
        <w:pStyle w:val="FirstParagraph"/>
      </w:pPr>
      <w:r>
        <w:t xml:space="preserve">This invoice is issued by Farmacia Chimica di Roma, a licensed chemist and pharmaceutical dispensary operating in the city of Rome, Italy, in full compliance with the Italian Ministry of Health (Ministero della Salute) regulations and the provisions of Legislative Decree 219/2006 regarding the dispensing of medicinal products. All prescription items listed above were dispensed pursuant to a valid medical prescription issued by a registered physician in the Lazio region. The customer is advised to read the patient information leaflet enclosed with each pharmaceutical product and to contact the chemist at this pharmacy for any queries regarding dosage, interactions, or storage conditions. Payment for this invoice is due immediately upon receipt. Accepted payment methods include: cash, bank card (Visa, Mastercard, American Express), contactless payment, and electronic transfer to the pharmacy's designated IBAN: IT60 X054 2811 1000 0000 123456. This invoice must be retained by the customer for a minimum period of ten (10) years in accordance with Italian tax law (DPR 600/1973). For any disputes or returns of unopened pharmaceutical products, the customer must present this invoice along with the original packaging within seven (7) calendar days of the date of purchase. The chemist reserves the right to refuse dispensing of controlled substances without a valid, current prescription as mandated by Italian pharmacovigilance law.</w:t>
      </w:r>
    </w:p>
    <w:bookmarkEnd w:id="26"/>
    <w:p>
      <w:pPr>
        <w:pStyle w:val="BodyText"/>
      </w:pPr>
      <w:r>
        <w:t xml:space="preserve">[ Pharmacist's Stamp &amp; Signature ]</w:t>
      </w:r>
    </w:p>
    <w:p>
      <w:pPr>
        <w:pStyle w:val="BodyText"/>
      </w:pPr>
      <w:r>
        <w:t xml:space="preserve">[ Customer's Signature ]</w:t>
      </w:r>
    </w:p>
    <w:p>
      <w:pPr>
        <w:pStyle w:val="BodyText"/>
      </w:pPr>
      <w:r>
        <w:rPr>
          <w:bCs/>
          <w:b/>
        </w:rPr>
        <w:t xml:space="preserve">Legal Disclaimer:</w:t>
      </w:r>
      <w:r>
        <w:t xml:space="preserve"> </w:t>
      </w:r>
      <w:r>
        <w:t xml:space="preserve">Farmacia Chimica di Roma S.r.l. is a registered pharmaceutical establishment (chemist) operating under the jurisdiction of the ASL Roma 1 (Local Health Authority) and the Order of Pharmacists of Rome. This invoice constitutes a fiscal document (documento fiscale) as defined by Italian tax legislation. The dispensing of all medicinal products listed herein is subject to the Italian Medicines Agency (AIFA) regulations and the European Union Directive 2001/83/EC. The chemist assumes no liability for adverse reactions arising from the misuse of dispensed products. Pharmacovigilance reports may be submitted to AIFA or directly to this pharmacy. Data processing is conducted in accordance with Regulation (EU) 2016/679 (GDPR) and the Italian Privacy Code (D.Lgs. 196/2003 as amended by D.Lgs. 101/2018). The data controller is Dott.ssa Elena Marchetti, Pharmacist in Charge. For data subject rights, please contact the pharmacy at the address stated above. This document was generated electronically and is valid without a physical stamp in accordance with Italian electronic invoicing regulations (SdI – Sistema di Interscambio).</w:t>
      </w:r>
    </w:p>
    <w:p>
      <w:pPr>
        <w:pStyle w:val="BodyText"/>
      </w:pPr>
      <w:r>
        <w:t xml:space="preserve">Farmacia Chimica di Roma S.r.l. – Via del Corso, 142 – 00186 Roma (RM), Italy</w:t>
      </w:r>
    </w:p>
    <w:p>
      <w:pPr>
        <w:pStyle w:val="BodyText"/>
      </w:pPr>
      <w:r>
        <w:t xml:space="preserve">Partita IVA: IT01234567890 | REA: RM-1234567 | Albo Farmacisti di Roma Reg. n. 4521</w:t>
      </w:r>
    </w:p>
    <w:p>
      <w:pPr>
        <w:pStyle w:val="BodyText"/>
      </w:pPr>
      <w:r>
        <w:t xml:space="preserve">Invoice FCR/2025/00487 – Issued in Rome, Italy on 14 June 2025</w:t>
      </w:r>
    </w:p>
    <w:p>
      <w:pPr>
        <w:pStyle w:val="BodyText"/>
      </w:pPr>
      <w:r>
        <w:t xml:space="preserve">Thank you for choosing our chemist. Your health is our priority in the heart of Rome.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Farmacia Chimica di Roma</dc:title>
  <dc:creator/>
  <dc:language>en</dc:language>
  <cp:keywords/>
  <dcterms:created xsi:type="dcterms:W3CDTF">2026-10-10T02:46:04Z</dcterms:created>
  <dcterms:modified xsi:type="dcterms:W3CDTF">2026-10-10T02:46:04Z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