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Kyoto</w:t>
      </w:r>
      <w:r>
        <w:t xml:space="preserve"> </w:t>
      </w:r>
      <w:r>
        <w:t xml:space="preserve">Chemist</w:t>
      </w:r>
      <w:r>
        <w:t xml:space="preserve"> </w:t>
      </w:r>
      <w:r>
        <w:t xml:space="preserve">Services</w:t>
      </w:r>
    </w:p>
    <w:bookmarkStart w:id="20" w:name="kyoto-chemist-laboratories-co.-ltd."/>
    <w:p>
      <w:pPr>
        <w:pStyle w:val="Heading1"/>
      </w:pPr>
      <w:r>
        <w:t xml:space="preserve">Kyoto Chemist Laboratories Co., Ltd.</w:t>
      </w:r>
    </w:p>
    <w:p>
      <w:pPr>
        <w:pStyle w:val="FirstParagraph"/>
      </w:pPr>
      <w:r>
        <w:t xml:space="preserve">Pharmaceutical &amp; Chemical Analysis Division</w:t>
      </w:r>
    </w:p>
    <w:p>
      <w:pPr>
        <w:pStyle w:val="BodyText"/>
      </w:pPr>
      <w:r>
        <w:t xml:space="preserve">2-14-8 Higashiyama, Kyoto-shi, Kyoto-fu 605-0001, Japan</w:t>
      </w:r>
    </w:p>
    <w:p>
      <w:pPr>
        <w:pStyle w:val="BodyText"/>
      </w:pPr>
      <w:r>
        <w:t xml:space="preserve">Tel: +81-75-555-0142 | Fax: +81-75-555-0143</w:t>
      </w:r>
    </w:p>
    <w:p>
      <w:pPr>
        <w:pStyle w:val="BodyText"/>
      </w:pPr>
      <w:r>
        <w:t xml:space="preserve">Email: billing@kyoto-chemist-lab.jp</w:t>
      </w:r>
    </w:p>
    <w:p>
      <w:pPr>
        <w:pStyle w:val="BodyText"/>
      </w:pPr>
      <w:r>
        <w:t xml:space="preserve">Corporate Number: 6010001234567</w:t>
      </w:r>
    </w:p>
    <w:p>
      <w:pPr>
        <w:pStyle w:val="BodyText"/>
      </w:pPr>
      <w:r>
        <w:t xml:space="preserve">Licensed Chemist Facility – Kyoto Prefecture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KYC-2025-04872</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rPr>
          <w:bCs/>
          <w:b/>
        </w:rPr>
        <w:t xml:space="preserve">Service Period:</w:t>
      </w:r>
      <w:r>
        <w:t xml:space="preserve"> </w:t>
      </w:r>
      <w:r>
        <w:t xml:space="preserve">May 1 – May 31, 2025</w:t>
      </w:r>
    </w:p>
    <w:bookmarkEnd w:id="21"/>
    <w:bookmarkStart w:id="22" w:name="billed-to-client"/>
    <w:p>
      <w:pPr>
        <w:pStyle w:val="Heading3"/>
      </w:pPr>
      <w:r>
        <w:t xml:space="preserve">Billed To (Client)</w:t>
      </w:r>
    </w:p>
    <w:p>
      <w:pPr>
        <w:pStyle w:val="FirstParagraph"/>
      </w:pPr>
      <w:r>
        <w:rPr>
          <w:bCs/>
          <w:b/>
        </w:rPr>
        <w:t xml:space="preserve">Arashiyama Pharmaceutical Research Institute</w:t>
      </w:r>
    </w:p>
    <w:p>
      <w:pPr>
        <w:pStyle w:val="BodyText"/>
      </w:pPr>
      <w:r>
        <w:t xml:space="preserve">45-3 Ninnanzaka, Higashiyama-ku</w:t>
      </w:r>
    </w:p>
    <w:p>
      <w:pPr>
        <w:pStyle w:val="BodyText"/>
      </w:pPr>
      <w:r>
        <w:t xml:space="preserve">Kyoto-shi, Kyoto-fu 605-0816, Japan</w:t>
      </w:r>
    </w:p>
    <w:p>
      <w:pPr>
        <w:pStyle w:val="BodyText"/>
      </w:pPr>
      <w:r>
        <w:t xml:space="preserve">Attn: Dr. Kenji Tanaka, Chief Research Officer</w:t>
      </w:r>
    </w:p>
    <w:p>
      <w:pPr>
        <w:pStyle w:val="BodyText"/>
      </w:pPr>
      <w:r>
        <w:t xml:space="preserve">Contact: k.tanaka@arashiyama-pharma.jp</w:t>
      </w:r>
    </w:p>
    <w:p>
      <w:pPr>
        <w:pStyle w:val="BodyText"/>
      </w:pPr>
      <w:r>
        <w:t xml:space="preserve">Client Reference: APR-2025-Q2-0091</w:t>
      </w:r>
    </w:p>
    <w:bookmarkEnd w:id="22"/>
    <w:bookmarkStart w:id="23" w:name="prepared-by-chemist"/>
    <w:p>
      <w:pPr>
        <w:pStyle w:val="Heading3"/>
      </w:pPr>
      <w:r>
        <w:t xml:space="preserve">Prepared By (Chemist)</w:t>
      </w:r>
    </w:p>
    <w:p>
      <w:pPr>
        <w:pStyle w:val="FirstParagraph"/>
      </w:pPr>
      <w:r>
        <w:rPr>
          <w:bCs/>
          <w:b/>
        </w:rPr>
        <w:t xml:space="preserve">Pharm. Dr. Yuki Nakamura</w:t>
      </w:r>
    </w:p>
    <w:p>
      <w:pPr>
        <w:pStyle w:val="BodyText"/>
      </w:pPr>
      <w:r>
        <w:t xml:space="preserve">Senior Chemist, Analytical Division</w:t>
      </w:r>
    </w:p>
    <w:p>
      <w:pPr>
        <w:pStyle w:val="BodyText"/>
      </w:pPr>
      <w:r>
        <w:t xml:space="preserve">Kyoto Chemist Laboratories Co., Ltd.</w:t>
      </w:r>
    </w:p>
    <w:p>
      <w:pPr>
        <w:pStyle w:val="BodyText"/>
      </w:pPr>
      <w:r>
        <w:t xml:space="preserve">Licence No. KY-CHM-2019-0034</w:t>
      </w:r>
    </w:p>
    <w:p>
      <w:pPr>
        <w:pStyle w:val="BodyText"/>
      </w:pPr>
      <w:r>
        <w:t xml:space="preserve">Registered with Kyoto Pharmaceutical Association</w:t>
      </w:r>
    </w:p>
    <w:p>
      <w:pPr>
        <w:pStyle w:val="BodyText"/>
      </w:pPr>
      <w:r>
        <w:t xml:space="preserve">Supervisor: Prof. Hiroshi Yamamoto</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Chemist Services</w:t>
            </w:r>
          </w:p>
        </w:tc>
        <w:tc>
          <w:tcPr/>
          <w:p>
            <w:pPr>
              <w:pStyle w:val="Compact"/>
              <w:jc w:val="left"/>
            </w:pPr>
            <w:r>
              <w:t xml:space="preserve">Ref. Code</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Pharmaceutical compound synthesis and purification – Active pharmaceutical ingredient (API) batch preparation for clinical trial Phase II, conducted by licensed chemist in Kyoto laboratory facility</w:t>
            </w:r>
          </w:p>
        </w:tc>
        <w:tc>
          <w:tcPr/>
          <w:p>
            <w:pPr>
              <w:pStyle w:val="Compact"/>
              <w:jc w:val="left"/>
            </w:pPr>
            <w:r>
              <w:t xml:space="preserve">CHM-SYN-0441</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High-performance liquid chromatography (HPLC) analysis of 48 sample batches for quality assurance, performed by certified chemist team at Kyoto Chemist Laboratories</w:t>
            </w:r>
          </w:p>
        </w:tc>
        <w:tc>
          <w:tcPr/>
          <w:p>
            <w:pPr>
              <w:pStyle w:val="Compact"/>
              <w:jc w:val="left"/>
            </w:pPr>
            <w:r>
              <w:t xml:space="preserve">CHM-ANL-0219</w:t>
            </w:r>
          </w:p>
        </w:tc>
        <w:tc>
          <w:tcPr/>
          <w:p>
            <w:pPr>
              <w:pStyle w:val="Compact"/>
              <w:jc w:val="left"/>
            </w:pPr>
            <w:r>
              <w:t xml:space="preserve">48</w:t>
            </w:r>
          </w:p>
        </w:tc>
        <w:tc>
          <w:tcPr/>
          <w:p>
            <w:pPr>
              <w:pStyle w:val="Compact"/>
              <w:jc w:val="left"/>
            </w:pPr>
            <w:r>
              <w:t xml:space="preserve">12,500</w:t>
            </w:r>
          </w:p>
        </w:tc>
        <w:tc>
          <w:tcPr/>
          <w:p>
            <w:pPr>
              <w:pStyle w:val="Compact"/>
              <w:jc w:val="left"/>
            </w:pPr>
            <w:r>
              <w:t xml:space="preserve">600,000</w:t>
            </w:r>
          </w:p>
        </w:tc>
      </w:tr>
      <w:tr>
        <w:tc>
          <w:tcPr/>
          <w:p>
            <w:pPr>
              <w:pStyle w:val="Compact"/>
              <w:jc w:val="left"/>
            </w:pPr>
            <w:r>
              <w:t xml:space="preserve">03</w:t>
            </w:r>
          </w:p>
        </w:tc>
        <w:tc>
          <w:tcPr/>
          <w:p>
            <w:pPr>
              <w:pStyle w:val="Compact"/>
              <w:jc w:val="left"/>
            </w:pPr>
            <w:r>
              <w:t xml:space="preserve">Stability testing and shelf-life determination for new formulation stored under Kyoto climate conditions (temperature and humidity monitoring per Japanese Pharmacopoeia standards)</w:t>
            </w:r>
          </w:p>
        </w:tc>
        <w:tc>
          <w:tcPr/>
          <w:p>
            <w:pPr>
              <w:pStyle w:val="Compact"/>
              <w:jc w:val="left"/>
            </w:pPr>
            <w:r>
              <w:t xml:space="preserve">CHM-STB-0087</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Regulatory documentation and Good Manufacturing Practice (GMP) compliance review for submission to the Pharmaceuticals and Medical Devices Agency (PMDA), Japan</w:t>
            </w:r>
          </w:p>
        </w:tc>
        <w:tc>
          <w:tcPr/>
          <w:p>
            <w:pPr>
              <w:pStyle w:val="Compact"/>
              <w:jc w:val="left"/>
            </w:pPr>
            <w:r>
              <w:t xml:space="preserve">CHM-REG-0156</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05</w:t>
            </w:r>
          </w:p>
        </w:tc>
        <w:tc>
          <w:tcPr/>
          <w:p>
            <w:pPr>
              <w:pStyle w:val="Compact"/>
              <w:jc w:val="left"/>
            </w:pPr>
            <w:r>
              <w:t xml:space="preserve">Specialty chemical reagent procurement and inventory management – 240 individual reagents sourced through Kyoto Chemist supply network, including rare earth catalysts and isotopically labelled compounds</w:t>
            </w:r>
          </w:p>
        </w:tc>
        <w:tc>
          <w:tcPr/>
          <w:p>
            <w:pPr>
              <w:pStyle w:val="Compact"/>
              <w:jc w:val="left"/>
            </w:pPr>
            <w:r>
              <w:t xml:space="preserve">CHM-SUP-0312</w:t>
            </w:r>
          </w:p>
        </w:tc>
        <w:tc>
          <w:tcPr/>
          <w:p>
            <w:pPr>
              <w:pStyle w:val="Compact"/>
              <w:jc w:val="left"/>
            </w:pPr>
            <w:r>
              <w:t xml:space="preserve">240</w:t>
            </w:r>
          </w:p>
        </w:tc>
        <w:tc>
          <w:tcPr/>
          <w:p>
            <w:pPr>
              <w:pStyle w:val="Compact"/>
              <w:jc w:val="left"/>
            </w:pPr>
            <w:r>
              <w:t xml:space="preserve">4,200</w:t>
            </w:r>
          </w:p>
        </w:tc>
        <w:tc>
          <w:tcPr/>
          <w:p>
            <w:pPr>
              <w:pStyle w:val="Compact"/>
              <w:jc w:val="left"/>
            </w:pPr>
            <w:r>
              <w:t xml:space="preserve">1,008,000</w:t>
            </w:r>
          </w:p>
        </w:tc>
      </w:tr>
      <w:tr>
        <w:tc>
          <w:tcPr/>
          <w:p>
            <w:pPr>
              <w:pStyle w:val="Compact"/>
              <w:jc w:val="left"/>
            </w:pPr>
            <w:r>
              <w:t xml:space="preserve">06</w:t>
            </w:r>
          </w:p>
        </w:tc>
        <w:tc>
          <w:tcPr/>
          <w:p>
            <w:pPr>
              <w:pStyle w:val="Compact"/>
              <w:jc w:val="left"/>
            </w:pPr>
            <w:r>
              <w:t xml:space="preserve">On-site consultation and technical advisory by senior chemist at client facility in Arashiyama, Kyoto – 16 hours of expert guidance on formulation optimization and process scale-up</w:t>
            </w:r>
          </w:p>
        </w:tc>
        <w:tc>
          <w:tcPr/>
          <w:p>
            <w:pPr>
              <w:pStyle w:val="Compact"/>
              <w:jc w:val="left"/>
            </w:pPr>
            <w:r>
              <w:t xml:space="preserve">CHM-ADV-0078</w:t>
            </w:r>
          </w:p>
        </w:tc>
        <w:tc>
          <w:tcPr/>
          <w:p>
            <w:pPr>
              <w:pStyle w:val="Compact"/>
              <w:jc w:val="left"/>
            </w:pPr>
            <w:r>
              <w:t xml:space="preserve">16</w:t>
            </w:r>
          </w:p>
        </w:tc>
        <w:tc>
          <w:tcPr/>
          <w:p>
            <w:pPr>
              <w:pStyle w:val="Compact"/>
              <w:jc w:val="left"/>
            </w:pPr>
            <w:r>
              <w:t xml:space="preserve">28,000</w:t>
            </w:r>
          </w:p>
        </w:tc>
        <w:tc>
          <w:tcPr/>
          <w:p>
            <w:pPr>
              <w:pStyle w:val="Compact"/>
              <w:jc w:val="left"/>
            </w:pPr>
            <w:r>
              <w:t xml:space="preserve">448,000</w:t>
            </w:r>
          </w:p>
        </w:tc>
      </w:tr>
      <w:tr>
        <w:tc>
          <w:tcPr/>
          <w:p>
            <w:pPr>
              <w:pStyle w:val="Compact"/>
              <w:jc w:val="left"/>
            </w:pPr>
            <w:r>
              <w:t xml:space="preserve">07</w:t>
            </w:r>
          </w:p>
        </w:tc>
        <w:tc>
          <w:tcPr/>
          <w:p>
            <w:pPr>
              <w:pStyle w:val="Compact"/>
              <w:jc w:val="left"/>
            </w:pPr>
            <w:r>
              <w:t xml:space="preserve">Waste disposal and environmental compliance services for chemical by-products, handled in accordance with Kyoto Prefecture environmental regulations and national chemist waste management protocols</w:t>
            </w:r>
          </w:p>
        </w:tc>
        <w:tc>
          <w:tcPr/>
          <w:p>
            <w:pPr>
              <w:pStyle w:val="Compact"/>
              <w:jc w:val="left"/>
            </w:pPr>
            <w:r>
              <w:t xml:space="preserve">CHM-ENV-0043</w:t>
            </w:r>
          </w:p>
        </w:tc>
        <w:tc>
          <w:tcPr/>
          <w:p>
            <w:pPr>
              <w:pStyle w:val="Compact"/>
              <w:jc w:val="left"/>
            </w:pPr>
            <w:r>
              <w:t xml:space="preserve">1</w:t>
            </w:r>
          </w:p>
        </w:tc>
        <w:tc>
          <w:tcPr/>
          <w:p>
            <w:pPr>
              <w:pStyle w:val="Compact"/>
              <w:jc w:val="left"/>
            </w:pPr>
            <w:r>
              <w:t xml:space="preserve">87,500</w:t>
            </w:r>
          </w:p>
        </w:tc>
        <w:tc>
          <w:tcPr/>
          <w:p>
            <w:pPr>
              <w:pStyle w:val="Compact"/>
              <w:jc w:val="left"/>
            </w:pPr>
            <w:r>
              <w:t xml:space="preserve">87,500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3,143,500</w:t>
            </w:r>
          </w:p>
        </w:tc>
      </w:tr>
      <w:tr>
        <w:tc>
          <w:tcPr/>
          <w:p>
            <w:pPr>
              <w:pStyle w:val="Compact"/>
              <w:jc w:val="left"/>
            </w:pPr>
            <w:r>
              <w:t xml:space="preserve">Consumable Materials Surcharge</w:t>
            </w:r>
          </w:p>
        </w:tc>
        <w:tc>
          <w:tcPr/>
          <w:p>
            <w:pPr>
              <w:pStyle w:val="Compact"/>
              <w:jc w:val="left"/>
            </w:pPr>
            <w:r>
              <w:t xml:space="preserve">47,153</w:t>
            </w:r>
          </w:p>
        </w:tc>
      </w:tr>
      <w:tr>
        <w:tc>
          <w:tcPr/>
          <w:p>
            <w:pPr>
              <w:pStyle w:val="Compact"/>
              <w:jc w:val="left"/>
            </w:pPr>
            <w:r>
              <w:t xml:space="preserve">Consumption Tax (10% – Japan)</w:t>
            </w:r>
          </w:p>
        </w:tc>
        <w:tc>
          <w:tcPr/>
          <w:p>
            <w:pPr>
              <w:pStyle w:val="Compact"/>
              <w:jc w:val="left"/>
            </w:pPr>
            <w:r>
              <w:t xml:space="preserve">319,065</w:t>
            </w:r>
          </w:p>
        </w:tc>
      </w:tr>
      <w:tr>
        <w:tc>
          <w:tcPr/>
          <w:p>
            <w:pPr>
              <w:pStyle w:val="Compact"/>
              <w:jc w:val="left"/>
            </w:pPr>
            <w:r>
              <w:t xml:space="preserve">Grand Total Due</w:t>
            </w:r>
          </w:p>
        </w:tc>
        <w:tc>
          <w:tcPr/>
          <w:p>
            <w:pPr>
              <w:pStyle w:val="Compact"/>
              <w:jc w:val="left"/>
            </w:pPr>
            <w:r>
              <w:t xml:space="preserve">3,509,718 JPY</w:t>
            </w:r>
          </w:p>
        </w:tc>
      </w:tr>
    </w:tbl>
    <w:bookmarkStart w:id="24" w:name="payment-instructions-important-notes"/>
    <w:p>
      <w:pPr>
        <w:pStyle w:val="Heading3"/>
      </w:pPr>
      <w:r>
        <w:t xml:space="preserve">Payment Instructions &amp; Important Notes</w:t>
      </w:r>
    </w:p>
    <w:p>
      <w:pPr>
        <w:pStyle w:val="FirstParagraph"/>
      </w:pPr>
      <w:r>
        <w:rPr>
          <w:bCs/>
          <w:b/>
        </w:rPr>
        <w:t xml:space="preserve">Bank Transfer:</w:t>
      </w:r>
      <w:r>
        <w:t xml:space="preserve"> </w:t>
      </w:r>
      <w:r>
        <w:t xml:space="preserve">Mizuho Bank, Kyoto Central Branch – Account Name: Kyoto Chemist Laboratories Co., Ltd. – Account No. 214-887-556 – Bank Code: 0009, Branch Code: 001</w:t>
      </w:r>
    </w:p>
    <w:p>
      <w:pPr>
        <w:pStyle w:val="BodyText"/>
      </w:pPr>
      <w:r>
        <w:rPr>
          <w:bCs/>
          <w:b/>
        </w:rPr>
        <w:t xml:space="preserve">Reference:</w:t>
      </w:r>
      <w:r>
        <w:t xml:space="preserve"> </w:t>
      </w:r>
      <w:r>
        <w:t xml:space="preserve">Please cite Invoice No. KYC-2025-04872 in all payment communications.</w:t>
      </w:r>
    </w:p>
    <w:p>
      <w:pPr>
        <w:pStyle w:val="BodyText"/>
      </w:pPr>
      <w:r>
        <w:rPr>
          <w:bCs/>
          <w:b/>
        </w:rPr>
        <w:t xml:space="preserve">Overdue Penalty:</w:t>
      </w:r>
      <w:r>
        <w:t xml:space="preserve"> </w:t>
      </w:r>
      <w:r>
        <w:t xml:space="preserve">A late payment interest of 1.5% per month will be applied to any balance outstanding beyond the due date of July 12, 2025, in accordance with Japanese commercial practice.</w:t>
      </w:r>
    </w:p>
    <w:p>
      <w:pPr>
        <w:pStyle w:val="BodyText"/>
      </w:pPr>
      <w:r>
        <w:rPr>
          <w:bCs/>
          <w:b/>
        </w:rPr>
        <w:t xml:space="preserve">Chemist Certification:</w:t>
      </w:r>
      <w:r>
        <w:t xml:space="preserve"> </w:t>
      </w:r>
      <w:r>
        <w:t xml:space="preserve">All analytical and synthesis services listed in this invoice were performed or supervised by a licensed chemist registered with the Kyoto Pharmaceutical Association. Certificates of Analysis (CoA) for each batch are available upon request and are attached to the delivery documentation.</w:t>
      </w:r>
    </w:p>
    <w:p>
      <w:pPr>
        <w:pStyle w:val="BodyText"/>
      </w:pPr>
      <w:r>
        <w:rPr>
          <w:bCs/>
          <w:b/>
        </w:rPr>
        <w:t xml:space="preserve">Quality Assurance:</w:t>
      </w:r>
      <w:r>
        <w:t xml:space="preserve"> </w:t>
      </w:r>
      <w:r>
        <w:t xml:space="preserve">This invoice covers services delivered under the quality management system of Kyoto Chemist Laboratories, which is accredited under ISO/IEC 17025 and complies with the Pharmaceutical Affairs Act of Japan (Act No. 45 of 1960, as amended).</w:t>
      </w:r>
    </w:p>
    <w:p>
      <w:pPr>
        <w:pStyle w:val="BodyText"/>
      </w:pPr>
      <w:r>
        <w:rPr>
          <w:bCs/>
          <w:b/>
        </w:rPr>
        <w:t xml:space="preserve">Dispute Resolution:</w:t>
      </w:r>
      <w:r>
        <w:t xml:space="preserve"> </w:t>
      </w:r>
      <w:r>
        <w:t xml:space="preserve">Any disputes arising from this invoice shall be resolved through negotiation in good faith. If unresolved, matters shall be submitted to the Kyoto District Court in accordance with Japanese civil procedure law.</w:t>
      </w:r>
    </w:p>
    <w:p>
      <w:pPr>
        <w:pStyle w:val="BodyText"/>
      </w:pPr>
      <w:r>
        <w:rPr>
          <w:bCs/>
          <w:b/>
        </w:rPr>
        <w:t xml:space="preserve">Confidentiality:</w:t>
      </w:r>
      <w:r>
        <w:t xml:space="preserve"> </w:t>
      </w:r>
      <w:r>
        <w:t xml:space="preserve">All data, formulations, and research findings associated with the services described in this invoice remain the confidential property of the client. Kyoto Chemist Laboratories undertakes to maintain strict confidentiality in compliance with the Act on the Protection of Personal Information (APPI) of Japan.</w:t>
      </w:r>
    </w:p>
    <w:bookmarkEnd w:id="24"/>
    <w:p>
      <w:pPr>
        <w:pStyle w:val="BodyText"/>
      </w:pPr>
      <w:r>
        <w:rPr>
          <w:bCs/>
          <w:b/>
        </w:rPr>
        <w:t xml:space="preserve">Kyoto Chemist Laboratories Co., Ltd.</w:t>
      </w:r>
      <w:r>
        <w:t xml:space="preserve"> </w:t>
      </w:r>
      <w:r>
        <w:t xml:space="preserve">– A trusted chemist services provider in the heart of Kyoto, Japan since 1987.</w:t>
      </w:r>
    </w:p>
    <w:p>
      <w:pPr>
        <w:pStyle w:val="BodyText"/>
      </w:pPr>
      <w:r>
        <w:t xml:space="preserve">Registered Address: 2-14-8 Higashiyama, Kyoto-shi, Kyoto-fu 605-0001, Japan</w:t>
      </w:r>
    </w:p>
    <w:p>
      <w:pPr>
        <w:pStyle w:val="BodyText"/>
      </w:pPr>
      <w:r>
        <w:t xml:space="preserve">This invoice is issued electronically and is valid without a physical signature. For verification, contact billing@kyoto-chemist-lab.jp or call +81-75-555-0142.</w:t>
      </w:r>
    </w:p>
    <w:p>
      <w:pPr>
        <w:pStyle w:val="BodyText"/>
      </w:pPr>
      <w:r>
        <w:t xml:space="preserve">Thank you for choosing Kyoto Chemist Laboratories for your pharmaceutical and chemical analysis needs in Japan.</w:t>
      </w:r>
    </w:p>
    <w:p>
      <w:pPr>
        <w:pStyle w:val="BodyText"/>
      </w:pPr>
      <w:r>
        <w:t xml:space="preserve">© 2025 Kyoto Chemist Laboratories Co., Ltd. All rights reserved. Invoice generated on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Kyoto Chemist Services</dc:title>
  <dc:creator/>
  <dc:language>en</dc:language>
  <cp:keywords/>
  <dcterms:created xsi:type="dcterms:W3CDTF">2026-10-10T05:47:45Z</dcterms:created>
  <dcterms:modified xsi:type="dcterms:W3CDTF">2026-10-10T05:47:45Z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