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Nairobi</w:t>
      </w:r>
      <w:r>
        <w:t xml:space="preserve"> </w:t>
      </w:r>
      <w:r>
        <w:t xml:space="preserve">Chemist</w:t>
      </w:r>
      <w:r>
        <w:t xml:space="preserve"> </w:t>
      </w:r>
      <w:r>
        <w:t xml:space="preserve">&amp;</w:t>
      </w:r>
      <w:r>
        <w:t xml:space="preserve"> </w:t>
      </w:r>
      <w:r>
        <w:t xml:space="preserve">Pharmacy</w:t>
      </w:r>
    </w:p>
    <w:bookmarkStart w:id="20" w:name="nairobi-chemist-pharmacy-ltd."/>
    <w:p>
      <w:pPr>
        <w:pStyle w:val="Heading1"/>
      </w:pPr>
      <w:r>
        <w:t xml:space="preserve">Nairobi Chemist &amp; Pharmacy Ltd.</w:t>
      </w:r>
    </w:p>
    <w:p>
      <w:pPr>
        <w:pStyle w:val="FirstParagraph"/>
      </w:pPr>
      <w:r>
        <w:t xml:space="preserve">Licence No: PHC/2024/00873</w:t>
      </w:r>
    </w:p>
    <w:p>
      <w:pPr>
        <w:pStyle w:val="BodyText"/>
      </w:pPr>
      <w:r>
        <w:t xml:space="preserve">Physical &amp; Chemical Laboratory Division</w:t>
      </w:r>
    </w:p>
    <w:p>
      <w:pPr>
        <w:pStyle w:val="BodyText"/>
      </w:pPr>
      <w:r>
        <w:t xml:space="preserve">Plot 45, Kenyatta Avenue, Westlands</w:t>
      </w:r>
    </w:p>
    <w:p>
      <w:pPr>
        <w:pStyle w:val="BodyText"/>
      </w:pPr>
      <w:r>
        <w:t xml:space="preserve">Nairobi, Kenya</w:t>
      </w:r>
    </w:p>
    <w:p>
      <w:pPr>
        <w:pStyle w:val="BodyText"/>
      </w:pPr>
      <w:r>
        <w:t xml:space="preserve">Tel: +254 (0) 722 456 789</w:t>
      </w:r>
    </w:p>
    <w:p>
      <w:pPr>
        <w:pStyle w:val="BodyText"/>
      </w:pPr>
      <w:r>
        <w:t xml:space="preserve">Email: billing@nairobichemist.co.ke</w:t>
      </w:r>
    </w:p>
    <w:p>
      <w:pPr>
        <w:pStyle w:val="BodyText"/>
      </w:pPr>
      <w:r>
        <w:t xml:space="preserve">PIN: P051234567X</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NC-2025-04872</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t xml:space="preserve">VAT Registered</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Dr. Amina Wanjiku</w:t>
      </w:r>
    </w:p>
    <w:p>
      <w:pPr>
        <w:pStyle w:val="BodyText"/>
      </w:pPr>
      <w:r>
        <w:rPr>
          <w:bCs/>
          <w:b/>
        </w:rPr>
        <w:t xml:space="preserve">Organization:</w:t>
      </w:r>
      <w:r>
        <w:t xml:space="preserve"> </w:t>
      </w:r>
      <w:r>
        <w:t xml:space="preserve">Nairobi County Health Facility</w:t>
      </w:r>
    </w:p>
    <w:p>
      <w:pPr>
        <w:pStyle w:val="BodyText"/>
      </w:pPr>
      <w:r>
        <w:rPr>
          <w:bCs/>
          <w:b/>
        </w:rPr>
        <w:t xml:space="preserve">Address:</w:t>
      </w:r>
      <w:r>
        <w:t xml:space="preserve"> </w:t>
      </w:r>
      <w:r>
        <w:t xml:space="preserve">P.O. Box 12345, GPO</w:t>
      </w:r>
    </w:p>
    <w:p>
      <w:pPr>
        <w:pStyle w:val="BodyText"/>
      </w:pPr>
      <w:r>
        <w:t xml:space="preserve">Nairobi, Kenya</w:t>
      </w:r>
    </w:p>
    <w:p>
      <w:pPr>
        <w:pStyle w:val="BodyText"/>
      </w:pPr>
      <w:r>
        <w:rPr>
          <w:bCs/>
          <w:b/>
        </w:rPr>
        <w:t xml:space="preserve">Tel:</w:t>
      </w:r>
      <w:r>
        <w:t xml:space="preserve"> </w:t>
      </w:r>
      <w:r>
        <w:t xml:space="preserve">+254 (0) 733 987 654</w:t>
      </w:r>
    </w:p>
    <w:p>
      <w:pPr>
        <w:pStyle w:val="BodyText"/>
      </w:pPr>
      <w:r>
        <w:rPr>
          <w:bCs/>
          <w:b/>
        </w:rPr>
        <w:t xml:space="preserve">Email:</w:t>
      </w:r>
      <w:r>
        <w:t xml:space="preserve"> </w:t>
      </w:r>
      <w:r>
        <w:t xml:space="preserve">a.wanjiku@nairobihealth.go.ke</w:t>
      </w:r>
    </w:p>
    <w:p>
      <w:pPr>
        <w:pStyle w:val="BodyText"/>
      </w:pPr>
      <w:r>
        <w:rPr>
          <w:bCs/>
          <w:b/>
        </w:rPr>
        <w:t xml:space="preserve">PIN:</w:t>
      </w:r>
      <w:r>
        <w:t xml:space="preserve"> </w:t>
      </w:r>
      <w:r>
        <w:t xml:space="preserve">P059876543X</w:t>
      </w:r>
    </w:p>
    <w:bookmarkEnd w:id="22"/>
    <w:bookmarkStart w:id="23" w:name="invoice-reference"/>
    <w:p>
      <w:pPr>
        <w:pStyle w:val="Heading3"/>
      </w:pPr>
      <w:r>
        <w:t xml:space="preserve">Invoice Reference</w:t>
      </w:r>
    </w:p>
    <w:p>
      <w:pPr>
        <w:pStyle w:val="FirstParagraph"/>
      </w:pPr>
      <w:r>
        <w:rPr>
          <w:bCs/>
          <w:b/>
        </w:rPr>
        <w:t xml:space="preserve">PO Number:</w:t>
      </w:r>
      <w:r>
        <w:t xml:space="preserve"> </w:t>
      </w:r>
      <w:r>
        <w:t xml:space="preserve">NCH-PO-2025-1142</w:t>
      </w:r>
    </w:p>
    <w:p>
      <w:pPr>
        <w:pStyle w:val="BodyText"/>
      </w:pPr>
      <w:r>
        <w:rPr>
          <w:bCs/>
          <w:b/>
        </w:rPr>
        <w:t xml:space="preserve">Delivery Address:</w:t>
      </w:r>
      <w:r>
        <w:t xml:space="preserve"> </w:t>
      </w:r>
      <w:r>
        <w:t xml:space="preserve">Nairobi County Health Facility, Mombasa Road, Nairobi</w:t>
      </w:r>
    </w:p>
    <w:p>
      <w:pPr>
        <w:pStyle w:val="BodyText"/>
      </w:pPr>
      <w:r>
        <w:rPr>
          <w:bCs/>
          <w:b/>
        </w:rPr>
        <w:t xml:space="preserve">Delivery Date:</w:t>
      </w:r>
      <w:r>
        <w:t xml:space="preserve"> </w:t>
      </w:r>
      <w:r>
        <w:t xml:space="preserve">16 June 2025</w:t>
      </w:r>
    </w:p>
    <w:p>
      <w:pPr>
        <w:pStyle w:val="BodyText"/>
      </w:pPr>
      <w:r>
        <w:rPr>
          <w:bCs/>
          <w:b/>
        </w:rPr>
        <w:t xml:space="preserve">Delivery Method:</w:t>
      </w:r>
      <w:r>
        <w:t xml:space="preserve"> </w:t>
      </w:r>
      <w:r>
        <w:t xml:space="preserve">Courier (Nairobi Metro)</w:t>
      </w:r>
    </w:p>
    <w:p>
      <w:pPr>
        <w:pStyle w:val="BodyText"/>
      </w:pPr>
      <w:r>
        <w:rPr>
          <w:bCs/>
          <w:b/>
        </w:rPr>
        <w:t xml:space="preserve">Prepared By:</w:t>
      </w:r>
      <w:r>
        <w:t xml:space="preserve"> </w:t>
      </w:r>
      <w:r>
        <w:t xml:space="preserve">Mr. James Otieno, Senior Chemist</w:t>
      </w:r>
    </w:p>
    <w:p>
      <w:pPr>
        <w:pStyle w:val="BodyText"/>
      </w:pPr>
      <w:r>
        <w:rPr>
          <w:bCs/>
          <w:b/>
        </w:rPr>
        <w:t xml:space="preserve">Approved By:</w:t>
      </w:r>
      <w:r>
        <w:t xml:space="preserve"> </w:t>
      </w:r>
      <w:r>
        <w:t xml:space="preserve">Dr. Grace Muthoni, Head of Pharmacy</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Goods / Services</w:t>
            </w:r>
          </w:p>
        </w:tc>
        <w:tc>
          <w:tcPr/>
          <w:p>
            <w:pPr>
              <w:pStyle w:val="Compact"/>
              <w:jc w:val="left"/>
            </w:pPr>
            <w:r>
              <w:t xml:space="preserve">Product Code</w:t>
            </w:r>
          </w:p>
        </w:tc>
        <w:tc>
          <w:tcPr/>
          <w:p>
            <w:pPr>
              <w:pStyle w:val="Compact"/>
              <w:jc w:val="left"/>
            </w:pPr>
            <w:r>
              <w:t xml:space="preserve">Quantity</w:t>
            </w:r>
          </w:p>
        </w:tc>
        <w:tc>
          <w:tcPr/>
          <w:p>
            <w:pPr>
              <w:pStyle w:val="Compact"/>
              <w:jc w:val="left"/>
            </w:pPr>
            <w:r>
              <w:t xml:space="preserve">Unit Price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Amoxicillin 500mg Capsules (28s) – Antibiotic, Chemist-Grade</w:t>
            </w:r>
          </w:p>
        </w:tc>
        <w:tc>
          <w:tcPr/>
          <w:p>
            <w:pPr>
              <w:pStyle w:val="Compact"/>
              <w:jc w:val="left"/>
            </w:pPr>
            <w:r>
              <w:t xml:space="preserve">AMX-500-28</w:t>
            </w:r>
          </w:p>
        </w:tc>
        <w:tc>
          <w:tcPr/>
          <w:p>
            <w:pPr>
              <w:pStyle w:val="Compact"/>
              <w:jc w:val="left"/>
            </w:pPr>
            <w:r>
              <w:t xml:space="preserve">50</w:t>
            </w:r>
          </w:p>
        </w:tc>
        <w:tc>
          <w:tcPr/>
          <w:p>
            <w:pPr>
              <w:pStyle w:val="Compact"/>
              <w:jc w:val="left"/>
            </w:pPr>
            <w:r>
              <w:t xml:space="preserve">1,250.00</w:t>
            </w:r>
          </w:p>
        </w:tc>
        <w:tc>
          <w:tcPr/>
          <w:p>
            <w:pPr>
              <w:pStyle w:val="Compact"/>
              <w:jc w:val="left"/>
            </w:pPr>
            <w:r>
              <w:t xml:space="preserve">62,500.00</w:t>
            </w:r>
          </w:p>
        </w:tc>
      </w:tr>
      <w:tr>
        <w:tc>
          <w:tcPr/>
          <w:p>
            <w:pPr>
              <w:pStyle w:val="Compact"/>
              <w:jc w:val="left"/>
            </w:pPr>
            <w:r>
              <w:t xml:space="preserve">2</w:t>
            </w:r>
          </w:p>
        </w:tc>
        <w:tc>
          <w:tcPr/>
          <w:p>
            <w:pPr>
              <w:pStyle w:val="Compact"/>
              <w:jc w:val="left"/>
            </w:pPr>
            <w:r>
              <w:t xml:space="preserve">Paracetamol 500mg Tablets (100s) – Analgesic, Nairobi Stock</w:t>
            </w:r>
          </w:p>
        </w:tc>
        <w:tc>
          <w:tcPr/>
          <w:p>
            <w:pPr>
              <w:pStyle w:val="Compact"/>
              <w:jc w:val="left"/>
            </w:pPr>
            <w:r>
              <w:t xml:space="preserve">PCM-500-100</w:t>
            </w:r>
          </w:p>
        </w:tc>
        <w:tc>
          <w:tcPr/>
          <w:p>
            <w:pPr>
              <w:pStyle w:val="Compact"/>
              <w:jc w:val="left"/>
            </w:pPr>
            <w:r>
              <w:t xml:space="preserve">100</w:t>
            </w:r>
          </w:p>
        </w:tc>
        <w:tc>
          <w:tcPr/>
          <w:p>
            <w:pPr>
              <w:pStyle w:val="Compact"/>
              <w:jc w:val="left"/>
            </w:pPr>
            <w:r>
              <w:t xml:space="preserve">480.00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Oral Rehydration Salts (ORS) Sachets (20s) – WHO Standard</w:t>
            </w:r>
          </w:p>
        </w:tc>
        <w:tc>
          <w:tcPr/>
          <w:p>
            <w:pPr>
              <w:pStyle w:val="Compact"/>
              <w:jc w:val="left"/>
            </w:pPr>
            <w:r>
              <w:t xml:space="preserve">ORS-20-STD</w:t>
            </w:r>
          </w:p>
        </w:tc>
        <w:tc>
          <w:tcPr/>
          <w:p>
            <w:pPr>
              <w:pStyle w:val="Compact"/>
              <w:jc w:val="left"/>
            </w:pPr>
            <w:r>
              <w:t xml:space="preserve">75</w:t>
            </w:r>
          </w:p>
        </w:tc>
        <w:tc>
          <w:tcPr/>
          <w:p>
            <w:pPr>
              <w:pStyle w:val="Compact"/>
              <w:jc w:val="left"/>
            </w:pPr>
            <w:r>
              <w:t xml:space="preserve">350.00</w:t>
            </w:r>
          </w:p>
        </w:tc>
        <w:tc>
          <w:tcPr/>
          <w:p>
            <w:pPr>
              <w:pStyle w:val="Compact"/>
              <w:jc w:val="left"/>
            </w:pPr>
            <w:r>
              <w:t xml:space="preserve">26,250.00</w:t>
            </w:r>
          </w:p>
        </w:tc>
      </w:tr>
      <w:tr>
        <w:tc>
          <w:tcPr/>
          <w:p>
            <w:pPr>
              <w:pStyle w:val="Compact"/>
              <w:jc w:val="left"/>
            </w:pPr>
            <w:r>
              <w:t xml:space="preserve">4</w:t>
            </w:r>
          </w:p>
        </w:tc>
        <w:tc>
          <w:tcPr/>
          <w:p>
            <w:pPr>
              <w:pStyle w:val="Compact"/>
              <w:jc w:val="left"/>
            </w:pPr>
            <w:r>
              <w:t xml:space="preserve">Metformin 850mg Tablets (60s) – Antidiabetic, Chemist Verified</w:t>
            </w:r>
          </w:p>
        </w:tc>
        <w:tc>
          <w:tcPr/>
          <w:p>
            <w:pPr>
              <w:pStyle w:val="Compact"/>
              <w:jc w:val="left"/>
            </w:pPr>
            <w:r>
              <w:t xml:space="preserve">MET-850-60</w:t>
            </w:r>
          </w:p>
        </w:tc>
        <w:tc>
          <w:tcPr/>
          <w:p>
            <w:pPr>
              <w:pStyle w:val="Compact"/>
              <w:jc w:val="left"/>
            </w:pPr>
            <w:r>
              <w:t xml:space="preserve">40</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5</w:t>
            </w:r>
          </w:p>
        </w:tc>
        <w:tc>
          <w:tcPr/>
          <w:p>
            <w:pPr>
              <w:pStyle w:val="Compact"/>
              <w:jc w:val="left"/>
            </w:pPr>
            <w:r>
              <w:t xml:space="preserve">Lab Reagents Kit – Chemical Analysis (Nairobi Chemist Supply)</w:t>
            </w:r>
          </w:p>
        </w:tc>
        <w:tc>
          <w:tcPr/>
          <w:p>
            <w:pPr>
              <w:pStyle w:val="Compact"/>
              <w:jc w:val="left"/>
            </w:pPr>
            <w:r>
              <w:t xml:space="preserve">LAB-REAG-01</w:t>
            </w:r>
          </w:p>
        </w:tc>
        <w:tc>
          <w:tcPr/>
          <w:p>
            <w:pPr>
              <w:pStyle w:val="Compact"/>
              <w:jc w:val="left"/>
            </w:pPr>
            <w:r>
              <w:t xml:space="preserve">10</w:t>
            </w:r>
          </w:p>
        </w:tc>
        <w:tc>
          <w:tcPr/>
          <w:p>
            <w:pPr>
              <w:pStyle w:val="Compact"/>
              <w:jc w:val="left"/>
            </w:pPr>
            <w:r>
              <w:t xml:space="preserve">12,500.00</w:t>
            </w:r>
          </w:p>
        </w:tc>
        <w:tc>
          <w:tcPr/>
          <w:p>
            <w:pPr>
              <w:pStyle w:val="Compact"/>
              <w:jc w:val="left"/>
            </w:pPr>
            <w:r>
              <w:t xml:space="preserve">125,000.00</w:t>
            </w:r>
          </w:p>
        </w:tc>
      </w:tr>
      <w:tr>
        <w:tc>
          <w:tcPr/>
          <w:p>
            <w:pPr>
              <w:pStyle w:val="Compact"/>
              <w:jc w:val="left"/>
            </w:pPr>
            <w:r>
              <w:t xml:space="preserve">6</w:t>
            </w:r>
          </w:p>
        </w:tc>
        <w:tc>
          <w:tcPr/>
          <w:p>
            <w:pPr>
              <w:pStyle w:val="Compact"/>
              <w:jc w:val="left"/>
            </w:pPr>
            <w:r>
              <w:t xml:space="preserve">Sterile Gauze Pads 10x10cm (100s) – Medical Grade</w:t>
            </w:r>
          </w:p>
        </w:tc>
        <w:tc>
          <w:tcPr/>
          <w:p>
            <w:pPr>
              <w:pStyle w:val="Compact"/>
              <w:jc w:val="left"/>
            </w:pPr>
            <w:r>
              <w:t xml:space="preserve">GAU-100-STD</w:t>
            </w:r>
          </w:p>
        </w:tc>
        <w:tc>
          <w:tcPr/>
          <w:p>
            <w:pPr>
              <w:pStyle w:val="Compact"/>
              <w:jc w:val="left"/>
            </w:pPr>
            <w:r>
              <w:t xml:space="preserve">30</w:t>
            </w:r>
          </w:p>
        </w:tc>
        <w:tc>
          <w:tcPr/>
          <w:p>
            <w:pPr>
              <w:pStyle w:val="Compact"/>
              <w:jc w:val="left"/>
            </w:pPr>
            <w:r>
              <w:t xml:space="preserve">890.00</w:t>
            </w:r>
          </w:p>
        </w:tc>
        <w:tc>
          <w:tcPr/>
          <w:p>
            <w:pPr>
              <w:pStyle w:val="Compact"/>
              <w:jc w:val="left"/>
            </w:pPr>
            <w:r>
              <w:t xml:space="preserve">26,700.00</w:t>
            </w:r>
          </w:p>
        </w:tc>
      </w:tr>
      <w:tr>
        <w:tc>
          <w:tcPr/>
          <w:p>
            <w:pPr>
              <w:pStyle w:val="Compact"/>
              <w:jc w:val="left"/>
            </w:pPr>
            <w:r>
              <w:t xml:space="preserve">7</w:t>
            </w:r>
          </w:p>
        </w:tc>
        <w:tc>
          <w:tcPr/>
          <w:p>
            <w:pPr>
              <w:pStyle w:val="Compact"/>
              <w:jc w:val="left"/>
            </w:pPr>
            <w:r>
              <w:t xml:space="preserve">Pharmaceutical Compounding Service – Custom Formulation (Chemist Fee)</w:t>
            </w:r>
          </w:p>
        </w:tc>
        <w:tc>
          <w:tcPr/>
          <w:p>
            <w:pPr>
              <w:pStyle w:val="Compact"/>
              <w:jc w:val="left"/>
            </w:pPr>
            <w:r>
              <w:t xml:space="preserve">SVC-COMP-01</w:t>
            </w:r>
          </w:p>
        </w:tc>
        <w:tc>
          <w:tcPr/>
          <w:p>
            <w:pPr>
              <w:pStyle w:val="Compact"/>
              <w:jc w:val="left"/>
            </w:pPr>
            <w:r>
              <w:t xml:space="preserve">5</w:t>
            </w:r>
          </w:p>
        </w:tc>
        <w:tc>
          <w:tcPr/>
          <w:p>
            <w:pPr>
              <w:pStyle w:val="Compact"/>
              <w:jc w:val="left"/>
            </w:pPr>
            <w:r>
              <w:t xml:space="preserve">3,500.00</w:t>
            </w:r>
          </w:p>
        </w:tc>
        <w:tc>
          <w:tcPr/>
          <w:p>
            <w:pPr>
              <w:pStyle w:val="Compact"/>
              <w:jc w:val="left"/>
            </w:pPr>
            <w:r>
              <w:t xml:space="preserve">17,500.00</w:t>
            </w:r>
          </w:p>
        </w:tc>
      </w:tr>
      <w:tr>
        <w:tc>
          <w:tcPr/>
          <w:p>
            <w:pPr>
              <w:pStyle w:val="Compact"/>
              <w:jc w:val="left"/>
            </w:pPr>
            <w:r>
              <w:t xml:space="preserve">8</w:t>
            </w:r>
          </w:p>
        </w:tc>
        <w:tc>
          <w:tcPr/>
          <w:p>
            <w:pPr>
              <w:pStyle w:val="Compact"/>
              <w:jc w:val="left"/>
            </w:pPr>
            <w:r>
              <w:t xml:space="preserve">Delivery &amp; Handling within Nairobi Metropolitan Area</w:t>
            </w:r>
          </w:p>
        </w:tc>
        <w:tc>
          <w:tcPr/>
          <w:p>
            <w:pPr>
              <w:pStyle w:val="Compact"/>
              <w:jc w:val="left"/>
            </w:pPr>
            <w:r>
              <w:t xml:space="preserve">SVC-DEL-NBO</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(KES)</w:t>
            </w:r>
          </w:p>
        </w:tc>
        <w:tc>
          <w:tcPr/>
          <w:p>
            <w:pPr>
              <w:pStyle w:val="Compact"/>
              <w:jc w:val="left"/>
            </w:pPr>
            <w:r>
              <w:t xml:space="preserve">382,450.00</w:t>
            </w:r>
          </w:p>
        </w:tc>
      </w:tr>
      <w:tr>
        <w:tc>
          <w:tcPr/>
          <w:p>
            <w:pPr>
              <w:pStyle w:val="Compact"/>
              <w:jc w:val="left"/>
            </w:pPr>
            <w:r>
              <w:t xml:space="preserve">VAT @ 16% (Kenya Revenue Authority)</w:t>
            </w:r>
          </w:p>
        </w:tc>
        <w:tc>
          <w:tcPr/>
          <w:p>
            <w:pPr>
              <w:pStyle w:val="Compact"/>
              <w:jc w:val="left"/>
            </w:pPr>
            <w:r>
              <w:t xml:space="preserve">61,192.00</w:t>
            </w:r>
          </w:p>
        </w:tc>
      </w:tr>
      <w:tr>
        <w:tc>
          <w:tcPr/>
          <w:p>
            <w:pPr>
              <w:pStyle w:val="Compact"/>
              <w:jc w:val="left"/>
            </w:pPr>
            <w:r>
              <w:t xml:space="preserve">Discount (Bulk Order – 2%)</w:t>
            </w:r>
          </w:p>
        </w:tc>
        <w:tc>
          <w:tcPr/>
          <w:p>
            <w:pPr>
              <w:pStyle w:val="Compact"/>
              <w:jc w:val="left"/>
            </w:pPr>
            <w:r>
              <w:t xml:space="preserve">(7,649.00)</w:t>
            </w:r>
          </w:p>
        </w:tc>
      </w:tr>
      <w:tr>
        <w:tc>
          <w:tcPr/>
          <w:p>
            <w:pPr>
              <w:pStyle w:val="Compact"/>
              <w:jc w:val="left"/>
            </w:pPr>
            <w:r>
              <w:t xml:space="preserve">GRAND TOTAL (KES)</w:t>
            </w:r>
          </w:p>
        </w:tc>
        <w:tc>
          <w:tcPr/>
          <w:p>
            <w:pPr>
              <w:pStyle w:val="Compact"/>
              <w:jc w:val="left"/>
            </w:pPr>
            <w:r>
              <w:t xml:space="preserve">335,993.00</w:t>
            </w:r>
          </w:p>
        </w:tc>
      </w:tr>
    </w:tbl>
    <w:bookmarkStart w:id="24" w:name="invoice-notes-chemist-certification"/>
    <w:p>
      <w:pPr>
        <w:pStyle w:val="Heading3"/>
      </w:pPr>
      <w:r>
        <w:t xml:space="preserve">Invoice Notes &amp; Chemist Certification</w:t>
      </w:r>
    </w:p>
    <w:p>
      <w:pPr>
        <w:pStyle w:val="FirstParagraph"/>
      </w:pPr>
      <w:r>
        <w:t xml:space="preserve">This Invoice is issued by Nairobi Chemist &amp; Pharmacy Ltd., a licensed pharmaceutical and chemical supply establishment operating in Nairobi, Kenya. All medications and chemical products listed above have been verified by our registered chemists and pharmacists in compliance with the Pharmacy and Poisons Board (PPB) of Kenya regulations.</w:t>
      </w:r>
    </w:p>
    <w:p>
      <w:pPr>
        <w:numPr>
          <w:ilvl w:val="0"/>
          <w:numId w:val="1001"/>
        </w:numPr>
        <w:pStyle w:val="Compact"/>
      </w:pPr>
      <w:r>
        <w:t xml:space="preserve">All pharmaceutical products are sourced from approved manufacturers and distributors registered with the PPB, Nairobi headquarters.</w:t>
      </w:r>
    </w:p>
    <w:p>
      <w:pPr>
        <w:numPr>
          <w:ilvl w:val="0"/>
          <w:numId w:val="1001"/>
        </w:numPr>
        <w:pStyle w:val="Compact"/>
      </w:pPr>
      <w:r>
        <w:t xml:space="preserve">Chemical reagents and laboratory supplies meet ISO 9001:2015 quality standards as certified by the Kenya Bureau of Standards (KEBS).</w:t>
      </w:r>
    </w:p>
    <w:p>
      <w:pPr>
        <w:numPr>
          <w:ilvl w:val="0"/>
          <w:numId w:val="1001"/>
        </w:numPr>
        <w:pStyle w:val="Compact"/>
      </w:pPr>
      <w:r>
        <w:t xml:space="preserve">Storage and transport conditions maintained at Nairobi Chemist &amp; Pharmacy ensure product integrity throughout the supply chain within Kenya Nairobi and surrounding counties.</w:t>
      </w:r>
    </w:p>
    <w:p>
      <w:pPr>
        <w:numPr>
          <w:ilvl w:val="0"/>
          <w:numId w:val="1001"/>
        </w:numPr>
        <w:pStyle w:val="Compact"/>
      </w:pPr>
      <w:r>
        <w:t xml:space="preserve">This Invoice serves as the official tax document for VAT purposes under the Kenya Revenue Authority (KRA) eTIMS system. ETR: 0000000000000000000000000000000000000000000000000000000000000000</w:t>
      </w:r>
    </w:p>
    <w:p>
      <w:pPr>
        <w:numPr>
          <w:ilvl w:val="0"/>
          <w:numId w:val="1001"/>
        </w:numPr>
        <w:pStyle w:val="Compact"/>
      </w:pPr>
      <w:r>
        <w:t xml:space="preserve">Payment may be made via M-Pesa (Paybill: 522522, Account: NC-04872), bank transfer to Equity Bank Ltd. (Account: 0123456789, Branch: Westlands, Nairobi), or cheque payable to Nairobi Chemist &amp; Pharmacy Ltd.</w:t>
      </w:r>
    </w:p>
    <w:bookmarkEnd w:id="24"/>
    <w:bookmarkStart w:id="25" w:name="terms-and-conditions"/>
    <w:p>
      <w:pPr>
        <w:pStyle w:val="Heading3"/>
      </w:pPr>
      <w:r>
        <w:t xml:space="preserve">Terms and Conditions</w:t>
      </w:r>
    </w:p>
    <w:p>
      <w:pPr>
        <w:pStyle w:val="FirstParagraph"/>
      </w:pPr>
      <w:r>
        <w:t xml:space="preserve">1. This Invoice is valid for payment within fourteen (14) calendar days from the date of issue. Late payments shall attract a penalty of 2% per month as per Kenyan commercial law.</w:t>
      </w:r>
    </w:p>
    <w:p>
      <w:pPr>
        <w:pStyle w:val="BodyText"/>
      </w:pPr>
      <w:r>
        <w:t xml:space="preserve">2. All goods sold by Nairobi Chemist &amp; Pharmacy are subject to inspection within forty-eight (48) hours of delivery in Nairobi. Any discrepancies must be reported in writing to the billing department.</w:t>
      </w:r>
    </w:p>
    <w:p>
      <w:pPr>
        <w:pStyle w:val="BodyText"/>
      </w:pPr>
      <w:r>
        <w:t xml:space="preserve">3. Prescription medications dispensed under this Invoice require a valid prescription from a registered medical practitioner in Kenya. The chemist reserves the right to verify prescriptions before dispatch.</w:t>
      </w:r>
    </w:p>
    <w:p>
      <w:pPr>
        <w:pStyle w:val="BodyText"/>
      </w:pPr>
      <w:r>
        <w:t xml:space="preserve">4. Nairobi Chemist &amp; Pharmacy Ltd. shall not be liable for any adverse effects arising from the misuse of products supplied under this Invoice. All chemical and pharmaceutical products must be handled in accordance with the manufacturer's instructions and Kenyan health safety guidelines.</w:t>
      </w:r>
    </w:p>
    <w:p>
      <w:pPr>
        <w:pStyle w:val="BodyText"/>
      </w:pPr>
      <w:r>
        <w:t xml:space="preserve">5. In the event of a dispute, this Invoice shall be governed by the laws of the Republic of Kenya, and any legal proceedings shall be subject to the exclusive jurisdiction of the courts in Nairobi, Kenya.</w:t>
      </w:r>
    </w:p>
    <w:p>
      <w:pPr>
        <w:pStyle w:val="BodyText"/>
      </w:pPr>
      <w:r>
        <w:t xml:space="preserve">6. This Invoice is generated electronically and is valid without a physical stamp or signature, in accordance with the Electronic Transactions Act, 2011 of Kenya.</w:t>
      </w:r>
    </w:p>
    <w:bookmarkEnd w:id="25"/>
    <w:p>
      <w:pPr>
        <w:pStyle w:val="BodyText"/>
      </w:pPr>
      <w:r>
        <w:t xml:space="preserve">Chemist's Stamp &amp; Signature</w:t>
      </w:r>
    </w:p>
    <w:p>
      <w:pPr>
        <w:pStyle w:val="BodyText"/>
      </w:pPr>
      <w:r>
        <w:t xml:space="preserve">Client Acknowledgement</w:t>
      </w:r>
    </w:p>
    <w:p>
      <w:pPr>
        <w:pStyle w:val="BodyText"/>
      </w:pPr>
      <w:r>
        <w:rPr>
          <w:bCs/>
          <w:b/>
        </w:rPr>
        <w:t xml:space="preserve">Nairobi Chemist &amp; Pharmacy Ltd.</w:t>
      </w:r>
      <w:r>
        <w:t xml:space="preserve"> </w:t>
      </w:r>
      <w:r>
        <w:t xml:space="preserve">| Plot 45, Kenyatta Avenue, Westlands, Nairobi, Kenya</w:t>
      </w:r>
    </w:p>
    <w:p>
      <w:pPr>
        <w:pStyle w:val="BodyText"/>
      </w:pPr>
      <w:r>
        <w:t xml:space="preserve">Licence No: PHC/2024/00873 | PIN: P051234567X | KRA eTIMS Registered</w:t>
      </w:r>
    </w:p>
    <w:p>
      <w:pPr>
        <w:pStyle w:val="BodyText"/>
      </w:pPr>
      <w:r>
        <w:t xml:space="preserve">Tel: +254 (0) 722 456 789 | Email: billing@nairobichemist.co.ke | Website: www.nairobichemist.co.ke</w:t>
      </w:r>
    </w:p>
    <w:p>
      <w:pPr>
        <w:pStyle w:val="BodyText"/>
      </w:pPr>
      <w:r>
        <w:t xml:space="preserve">This Invoice was generated on 14 June 2025. Please retain this document for your records. Nairobi Chemist &amp; Pharmacy Ltd. is a registered company in Kenya (Company Reg. No: 123456/2019). All transactions are subject to the Pharmacy and Poisons Act, Cap 244, Laws of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Nairobi Chemist &amp; Pharmacy</dc:title>
  <dc:creator/>
  <dc:language>en</dc:language>
  <cp:keywords/>
  <dcterms:created xsi:type="dcterms:W3CDTF">2026-10-10T03:43:03Z</dcterms:created>
  <dcterms:modified xsi:type="dcterms:W3CDTF">2026-10-10T03:43:03Z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