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Al-Nour</w:t>
      </w:r>
      <w:r>
        <w:t xml:space="preserve"> </w:t>
      </w:r>
      <w:r>
        <w:t xml:space="preserve">Chemist,</w:t>
      </w:r>
      <w:r>
        <w:t xml:space="preserve"> </w:t>
      </w:r>
      <w:r>
        <w:t xml:space="preserve">Kuwait</w:t>
      </w:r>
      <w:r>
        <w:t xml:space="preserve"> </w:t>
      </w:r>
      <w:r>
        <w:t xml:space="preserve">Kuwait</w:t>
      </w:r>
      <w:r>
        <w:t xml:space="preserve"> </w:t>
      </w:r>
      <w:r>
        <w:t xml:space="preserve">City</w:t>
      </w:r>
    </w:p>
    <w:bookmarkStart w:id="20" w:name="al-nour-chemist"/>
    <w:p>
      <w:pPr>
        <w:pStyle w:val="Heading1"/>
      </w:pPr>
      <w:r>
        <w:t xml:space="preserve">Al-Nour Chemist</w:t>
      </w:r>
    </w:p>
    <w:p>
      <w:pPr>
        <w:pStyle w:val="FirstParagraph"/>
      </w:pPr>
      <w:r>
        <w:t xml:space="preserve">Licensed Pharmacy &amp; Chemist Services</w:t>
      </w:r>
    </w:p>
    <w:p>
      <w:pPr>
        <w:pStyle w:val="BodyText"/>
      </w:pPr>
      <w:r>
        <w:t xml:space="preserve">Al-Salimiyah District, Block 4, Street 12</w:t>
      </w:r>
    </w:p>
    <w:p>
      <w:pPr>
        <w:pStyle w:val="BodyText"/>
      </w:pPr>
      <w:r>
        <w:t xml:space="preserve">Kuwait Kuwait City, P.O. Box 3847, Kuwait</w:t>
      </w:r>
    </w:p>
    <w:p>
      <w:pPr>
        <w:pStyle w:val="BodyText"/>
      </w:pPr>
      <w:r>
        <w:t xml:space="preserve">Tel: +965 2244 5566 | Email: info@alnourchemist.kw</w:t>
      </w:r>
    </w:p>
    <w:p>
      <w:pPr>
        <w:pStyle w:val="BodyText"/>
      </w:pPr>
      <w:r>
        <w:t xml:space="preserve">Ministry of Health License No. PH-2019-04872</w:t>
      </w:r>
    </w:p>
    <w:bookmarkEnd w:id="20"/>
    <w:bookmarkStart w:id="21" w:name="invoice"/>
    <w:p>
      <w:pPr>
        <w:pStyle w:val="Heading2"/>
      </w:pPr>
      <w:r>
        <w:t xml:space="preserve">INVOICE</w:t>
      </w:r>
    </w:p>
    <w:p>
      <w:pPr>
        <w:pStyle w:val="FirstParagraph"/>
      </w:pPr>
      <w:r>
        <w:t xml:space="preserve">Invoice No: ANC-KW-2025-00847</w:t>
      </w:r>
    </w:p>
    <w:p>
      <w:pPr>
        <w:pStyle w:val="BodyText"/>
      </w:pPr>
      <w:r>
        <w:t xml:space="preserve">Date: 14 June 2025</w:t>
      </w:r>
    </w:p>
    <w:p>
      <w:pPr>
        <w:pStyle w:val="BodyText"/>
      </w:pPr>
      <w:r>
        <w:t xml:space="preserve">Due Date: 28 June 2025</w:t>
      </w:r>
    </w:p>
    <w:p>
      <w:pPr>
        <w:pStyle w:val="BodyText"/>
      </w:pPr>
      <w:r>
        <w:t xml:space="preserve">PAID</w:t>
      </w:r>
    </w:p>
    <w:bookmarkEnd w:id="21"/>
    <w:bookmarkStart w:id="22" w:name="billed-to"/>
    <w:p>
      <w:pPr>
        <w:pStyle w:val="Heading3"/>
      </w:pPr>
      <w:r>
        <w:t xml:space="preserve">Billed To</w:t>
      </w:r>
    </w:p>
    <w:p>
      <w:pPr>
        <w:pStyle w:val="FirstParagraph"/>
      </w:pPr>
      <w:r>
        <w:rPr>
          <w:bCs/>
          <w:b/>
        </w:rPr>
        <w:t xml:space="preserve">Al-Rashid Medical Center</w:t>
      </w:r>
    </w:p>
    <w:p>
      <w:pPr>
        <w:pStyle w:val="BodyText"/>
      </w:pPr>
      <w:r>
        <w:t xml:space="preserve">Outpatient Pharmacy Department</w:t>
      </w:r>
    </w:p>
    <w:p>
      <w:pPr>
        <w:pStyle w:val="BodyText"/>
      </w:pPr>
      <w:r>
        <w:t xml:space="preserve">Salmiya, Kuwait Kuwait City</w:t>
      </w:r>
    </w:p>
    <w:p>
      <w:pPr>
        <w:pStyle w:val="BodyText"/>
      </w:pPr>
      <w:r>
        <w:t xml:space="preserve">Attn: Dr. Faisal Al-Harbi, Procurement Officer</w:t>
      </w:r>
    </w:p>
    <w:p>
      <w:pPr>
        <w:pStyle w:val="BodyText"/>
      </w:pPr>
      <w:r>
        <w:t xml:space="preserve">Tel: +965 2478 9900</w:t>
      </w:r>
    </w:p>
    <w:bookmarkEnd w:id="22"/>
    <w:bookmarkStart w:id="23" w:name="invoice-details"/>
    <w:p>
      <w:pPr>
        <w:pStyle w:val="Heading3"/>
      </w:pPr>
      <w:r>
        <w:t xml:space="preserve">Invoice Details</w:t>
      </w:r>
    </w:p>
    <w:p>
      <w:pPr>
        <w:pStyle w:val="FirstParagraph"/>
      </w:pPr>
      <w:r>
        <w:t xml:space="preserve">Payment Method: Bank Transfer</w:t>
      </w:r>
    </w:p>
    <w:p>
      <w:pPr>
        <w:pStyle w:val="BodyText"/>
      </w:pPr>
      <w:r>
        <w:t xml:space="preserve">Bank: National Bank of Kuwait</w:t>
      </w:r>
    </w:p>
    <w:p>
      <w:pPr>
        <w:pStyle w:val="BodyText"/>
      </w:pPr>
      <w:r>
        <w:t xml:space="preserve">Account: 0102-3456-7890</w:t>
      </w:r>
    </w:p>
    <w:p>
      <w:pPr>
        <w:pStyle w:val="BodyText"/>
      </w:pPr>
      <w:r>
        <w:t xml:space="preserve">Reference: ANC-KW-2025-00847</w:t>
      </w:r>
    </w:p>
    <w:p>
      <w:pPr>
        <w:pStyle w:val="BodyText"/>
      </w:pPr>
      <w:r>
        <w:t xml:space="preserve">Terms: Net 14 Days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Product Code</w:t>
            </w:r>
          </w:p>
        </w:tc>
        <w:tc>
          <w:tcPr/>
          <w:p>
            <w:pPr>
              <w:pStyle w:val="Compact"/>
              <w:jc w:val="left"/>
            </w:pPr>
            <w:r>
              <w:t xml:space="preserve">Qty</w:t>
            </w:r>
          </w:p>
        </w:tc>
        <w:tc>
          <w:tcPr/>
          <w:p>
            <w:pPr>
              <w:pStyle w:val="Compact"/>
              <w:jc w:val="left"/>
            </w:pPr>
            <w:r>
              <w:t xml:space="preserve">Unit Price (KWD)</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Amoxicillin 500mg Capsules (21-count) – Prescription Dispensing by Chemist</w:t>
            </w:r>
          </w:p>
        </w:tc>
        <w:tc>
          <w:tcPr/>
          <w:p>
            <w:pPr>
              <w:pStyle w:val="Compact"/>
              <w:jc w:val="left"/>
            </w:pPr>
            <w:r>
              <w:t xml:space="preserve">AMX-500-21</w:t>
            </w:r>
          </w:p>
        </w:tc>
        <w:tc>
          <w:tcPr/>
          <w:p>
            <w:pPr>
              <w:pStyle w:val="Compact"/>
              <w:jc w:val="left"/>
            </w:pPr>
            <w:r>
              <w:t xml:space="preserve">45</w:t>
            </w:r>
          </w:p>
        </w:tc>
        <w:tc>
          <w:tcPr/>
          <w:p>
            <w:pPr>
              <w:pStyle w:val="Compact"/>
              <w:jc w:val="left"/>
            </w:pPr>
            <w:r>
              <w:t xml:space="preserve">1.850</w:t>
            </w:r>
          </w:p>
        </w:tc>
        <w:tc>
          <w:tcPr/>
          <w:p>
            <w:pPr>
              <w:pStyle w:val="Compact"/>
              <w:jc w:val="left"/>
            </w:pPr>
            <w:r>
              <w:t xml:space="preserve">83.250</w:t>
            </w:r>
          </w:p>
        </w:tc>
      </w:tr>
      <w:tr>
        <w:tc>
          <w:tcPr/>
          <w:p>
            <w:pPr>
              <w:pStyle w:val="Compact"/>
              <w:jc w:val="left"/>
            </w:pPr>
            <w:r>
              <w:t xml:space="preserve">2</w:t>
            </w:r>
          </w:p>
        </w:tc>
        <w:tc>
          <w:tcPr/>
          <w:p>
            <w:pPr>
              <w:pStyle w:val="Compact"/>
              <w:jc w:val="left"/>
            </w:pPr>
            <w:r>
              <w:t xml:space="preserve">Ibuprofen 400mg Tablets (30-count) – Over-the-Counter Chemist Supply</w:t>
            </w:r>
          </w:p>
        </w:tc>
        <w:tc>
          <w:tcPr/>
          <w:p>
            <w:pPr>
              <w:pStyle w:val="Compact"/>
              <w:jc w:val="left"/>
            </w:pPr>
            <w:r>
              <w:t xml:space="preserve">IBU-400-30</w:t>
            </w:r>
          </w:p>
        </w:tc>
        <w:tc>
          <w:tcPr/>
          <w:p>
            <w:pPr>
              <w:pStyle w:val="Compact"/>
              <w:jc w:val="left"/>
            </w:pPr>
            <w:r>
              <w:t xml:space="preserve">60</w:t>
            </w:r>
          </w:p>
        </w:tc>
        <w:tc>
          <w:tcPr/>
          <w:p>
            <w:pPr>
              <w:pStyle w:val="Compact"/>
              <w:jc w:val="left"/>
            </w:pPr>
            <w:r>
              <w:t xml:space="preserve">1.200</w:t>
            </w:r>
          </w:p>
        </w:tc>
        <w:tc>
          <w:tcPr/>
          <w:p>
            <w:pPr>
              <w:pStyle w:val="Compact"/>
              <w:jc w:val="left"/>
            </w:pPr>
            <w:r>
              <w:t xml:space="preserve">72.000</w:t>
            </w:r>
          </w:p>
        </w:tc>
      </w:tr>
      <w:tr>
        <w:tc>
          <w:tcPr/>
          <w:p>
            <w:pPr>
              <w:pStyle w:val="Compact"/>
              <w:jc w:val="left"/>
            </w:pPr>
            <w:r>
              <w:t xml:space="preserve">3</w:t>
            </w:r>
          </w:p>
        </w:tc>
        <w:tc>
          <w:tcPr/>
          <w:p>
            <w:pPr>
              <w:pStyle w:val="Compact"/>
              <w:jc w:val="left"/>
            </w:pPr>
            <w:r>
              <w:t xml:space="preserve">Insulin Glargine 100 IU/mL Pen (3-pen pack) – Refrigerated Chemist Storage</w:t>
            </w:r>
          </w:p>
        </w:tc>
        <w:tc>
          <w:tcPr/>
          <w:p>
            <w:pPr>
              <w:pStyle w:val="Compact"/>
              <w:jc w:val="left"/>
            </w:pPr>
            <w:r>
              <w:t xml:space="preserve">INS-GLA-100</w:t>
            </w:r>
          </w:p>
        </w:tc>
        <w:tc>
          <w:tcPr/>
          <w:p>
            <w:pPr>
              <w:pStyle w:val="Compact"/>
              <w:jc w:val="left"/>
            </w:pPr>
            <w:r>
              <w:t xml:space="preserve">20</w:t>
            </w:r>
          </w:p>
        </w:tc>
        <w:tc>
          <w:tcPr/>
          <w:p>
            <w:pPr>
              <w:pStyle w:val="Compact"/>
              <w:jc w:val="left"/>
            </w:pPr>
            <w:r>
              <w:t xml:space="preserve">14.500</w:t>
            </w:r>
          </w:p>
        </w:tc>
        <w:tc>
          <w:tcPr/>
          <w:p>
            <w:pPr>
              <w:pStyle w:val="Compact"/>
              <w:jc w:val="left"/>
            </w:pPr>
            <w:r>
              <w:t xml:space="preserve">290.000</w:t>
            </w:r>
          </w:p>
        </w:tc>
      </w:tr>
      <w:tr>
        <w:tc>
          <w:tcPr/>
          <w:p>
            <w:pPr>
              <w:pStyle w:val="Compact"/>
              <w:jc w:val="left"/>
            </w:pPr>
            <w:r>
              <w:t xml:space="preserve">4</w:t>
            </w:r>
          </w:p>
        </w:tc>
        <w:tc>
          <w:tcPr/>
          <w:p>
            <w:pPr>
              <w:pStyle w:val="Compact"/>
              <w:jc w:val="left"/>
            </w:pPr>
            <w:r>
              <w:t xml:space="preserve">Metformin 850mg Tablets (60-count) – Chronic Care Chemist Dispensing</w:t>
            </w:r>
          </w:p>
        </w:tc>
        <w:tc>
          <w:tcPr/>
          <w:p>
            <w:pPr>
              <w:pStyle w:val="Compact"/>
              <w:jc w:val="left"/>
            </w:pPr>
            <w:r>
              <w:t xml:space="preserve">MTF-850-60</w:t>
            </w:r>
          </w:p>
        </w:tc>
        <w:tc>
          <w:tcPr/>
          <w:p>
            <w:pPr>
              <w:pStyle w:val="Compact"/>
              <w:jc w:val="left"/>
            </w:pPr>
            <w:r>
              <w:t xml:space="preserve">35</w:t>
            </w:r>
          </w:p>
        </w:tc>
        <w:tc>
          <w:tcPr/>
          <w:p>
            <w:pPr>
              <w:pStyle w:val="Compact"/>
              <w:jc w:val="left"/>
            </w:pPr>
            <w:r>
              <w:t xml:space="preserve">2.400</w:t>
            </w:r>
          </w:p>
        </w:tc>
        <w:tc>
          <w:tcPr/>
          <w:p>
            <w:pPr>
              <w:pStyle w:val="Compact"/>
              <w:jc w:val="left"/>
            </w:pPr>
            <w:r>
              <w:t xml:space="preserve">84.000</w:t>
            </w:r>
          </w:p>
        </w:tc>
      </w:tr>
      <w:tr>
        <w:tc>
          <w:tcPr/>
          <w:p>
            <w:pPr>
              <w:pStyle w:val="Compact"/>
              <w:jc w:val="left"/>
            </w:pPr>
            <w:r>
              <w:t xml:space="preserve">5</w:t>
            </w:r>
          </w:p>
        </w:tc>
        <w:tc>
          <w:tcPr/>
          <w:p>
            <w:pPr>
              <w:pStyle w:val="Compact"/>
              <w:jc w:val="left"/>
            </w:pPr>
            <w:r>
              <w:t xml:space="preserve">Salbutamol Inhaler 100mcg (200-dose) – Respiratory Chemist Supply</w:t>
            </w:r>
          </w:p>
        </w:tc>
        <w:tc>
          <w:tcPr/>
          <w:p>
            <w:pPr>
              <w:pStyle w:val="Compact"/>
              <w:jc w:val="left"/>
            </w:pPr>
            <w:r>
              <w:t xml:space="preserve">SAL-100-200</w:t>
            </w:r>
          </w:p>
        </w:tc>
        <w:tc>
          <w:tcPr/>
          <w:p>
            <w:pPr>
              <w:pStyle w:val="Compact"/>
              <w:jc w:val="left"/>
            </w:pPr>
            <w:r>
              <w:t xml:space="preserve">25</w:t>
            </w:r>
          </w:p>
        </w:tc>
        <w:tc>
          <w:tcPr/>
          <w:p>
            <w:pPr>
              <w:pStyle w:val="Compact"/>
              <w:jc w:val="left"/>
            </w:pPr>
            <w:r>
              <w:t xml:space="preserve">3.750</w:t>
            </w:r>
          </w:p>
        </w:tc>
        <w:tc>
          <w:tcPr/>
          <w:p>
            <w:pPr>
              <w:pStyle w:val="Compact"/>
              <w:jc w:val="left"/>
            </w:pPr>
            <w:r>
              <w:t xml:space="preserve">93.750</w:t>
            </w:r>
          </w:p>
        </w:tc>
      </w:tr>
      <w:tr>
        <w:tc>
          <w:tcPr/>
          <w:p>
            <w:pPr>
              <w:pStyle w:val="Compact"/>
              <w:jc w:val="left"/>
            </w:pPr>
            <w:r>
              <w:t xml:space="preserve">6</w:t>
            </w:r>
          </w:p>
        </w:tc>
        <w:tc>
          <w:tcPr/>
          <w:p>
            <w:pPr>
              <w:pStyle w:val="Compact"/>
              <w:jc w:val="left"/>
            </w:pPr>
            <w:r>
              <w:t xml:space="preserve">Oral Rehydration Salts (20-sachet box) – Pediatric Chemist Section</w:t>
            </w:r>
          </w:p>
        </w:tc>
        <w:tc>
          <w:tcPr/>
          <w:p>
            <w:pPr>
              <w:pStyle w:val="Compact"/>
              <w:jc w:val="left"/>
            </w:pPr>
            <w:r>
              <w:t xml:space="preserve">ORS-20-BOX</w:t>
            </w:r>
          </w:p>
        </w:tc>
        <w:tc>
          <w:tcPr/>
          <w:p>
            <w:pPr>
              <w:pStyle w:val="Compact"/>
              <w:jc w:val="left"/>
            </w:pPr>
            <w:r>
              <w:t xml:space="preserve">40</w:t>
            </w:r>
          </w:p>
        </w:tc>
        <w:tc>
          <w:tcPr/>
          <w:p>
            <w:pPr>
              <w:pStyle w:val="Compact"/>
              <w:jc w:val="left"/>
            </w:pPr>
            <w:r>
              <w:t xml:space="preserve">1.100</w:t>
            </w:r>
          </w:p>
        </w:tc>
        <w:tc>
          <w:tcPr/>
          <w:p>
            <w:pPr>
              <w:pStyle w:val="Compact"/>
              <w:jc w:val="left"/>
            </w:pPr>
            <w:r>
              <w:t xml:space="preserve">44.000</w:t>
            </w:r>
          </w:p>
        </w:tc>
      </w:tr>
      <w:tr>
        <w:tc>
          <w:tcPr/>
          <w:p>
            <w:pPr>
              <w:pStyle w:val="Compact"/>
              <w:jc w:val="left"/>
            </w:pPr>
            <w:r>
              <w:t xml:space="preserve">7</w:t>
            </w:r>
          </w:p>
        </w:tc>
        <w:tc>
          <w:tcPr/>
          <w:p>
            <w:pPr>
              <w:pStyle w:val="Compact"/>
              <w:jc w:val="left"/>
            </w:pPr>
            <w:r>
              <w:t xml:space="preserve">Pharmaceutical Compounding Service – Customized Chemist Preparation (per batch)</w:t>
            </w:r>
          </w:p>
        </w:tc>
        <w:tc>
          <w:tcPr/>
          <w:p>
            <w:pPr>
              <w:pStyle w:val="Compact"/>
              <w:jc w:val="left"/>
            </w:pPr>
            <w:r>
              <w:t xml:space="preserve">SVC-COMP-001</w:t>
            </w:r>
          </w:p>
        </w:tc>
        <w:tc>
          <w:tcPr/>
          <w:p>
            <w:pPr>
              <w:pStyle w:val="Compact"/>
              <w:jc w:val="left"/>
            </w:pPr>
            <w:r>
              <w:t xml:space="preserve">10</w:t>
            </w:r>
          </w:p>
        </w:tc>
        <w:tc>
          <w:tcPr/>
          <w:p>
            <w:pPr>
              <w:pStyle w:val="Compact"/>
              <w:jc w:val="left"/>
            </w:pPr>
            <w:r>
              <w:t xml:space="preserve">5.000</w:t>
            </w:r>
          </w:p>
        </w:tc>
        <w:tc>
          <w:tcPr/>
          <w:p>
            <w:pPr>
              <w:pStyle w:val="Compact"/>
              <w:jc w:val="left"/>
            </w:pPr>
            <w:r>
              <w:t xml:space="preserve">50.000</w:t>
            </w:r>
          </w:p>
        </w:tc>
      </w:tr>
      <w:tr>
        <w:tc>
          <w:tcPr/>
          <w:p>
            <w:pPr>
              <w:pStyle w:val="Compact"/>
              <w:jc w:val="left"/>
            </w:pPr>
            <w:r>
              <w:t xml:space="preserve">8</w:t>
            </w:r>
          </w:p>
        </w:tc>
        <w:tc>
          <w:tcPr/>
          <w:p>
            <w:pPr>
              <w:pStyle w:val="Compact"/>
              <w:jc w:val="left"/>
            </w:pPr>
            <w:r>
              <w:t xml:space="preserve">Medical Gloves (Nitrile, Medium, 100-count) – Chemist Consumables</w:t>
            </w:r>
          </w:p>
        </w:tc>
        <w:tc>
          <w:tcPr/>
          <w:p>
            <w:pPr>
              <w:pStyle w:val="Compact"/>
              <w:jc w:val="left"/>
            </w:pPr>
            <w:r>
              <w:t xml:space="preserve">GLV-NIT-M-100</w:t>
            </w:r>
          </w:p>
        </w:tc>
        <w:tc>
          <w:tcPr/>
          <w:p>
            <w:pPr>
              <w:pStyle w:val="Compact"/>
              <w:jc w:val="left"/>
            </w:pPr>
            <w:r>
              <w:t xml:space="preserve">50</w:t>
            </w:r>
          </w:p>
        </w:tc>
        <w:tc>
          <w:tcPr/>
          <w:p>
            <w:pPr>
              <w:pStyle w:val="Compact"/>
              <w:jc w:val="left"/>
            </w:pPr>
            <w:r>
              <w:t xml:space="preserve">0.950</w:t>
            </w:r>
          </w:p>
        </w:tc>
        <w:tc>
          <w:tcPr/>
          <w:p>
            <w:pPr>
              <w:pStyle w:val="Compact"/>
              <w:jc w:val="left"/>
            </w:pPr>
            <w:r>
              <w:t xml:space="preserve">47.500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764.500 KWD</w:t>
            </w:r>
          </w:p>
        </w:tc>
      </w:tr>
      <w:tr>
        <w:tc>
          <w:tcPr/>
          <w:p>
            <w:pPr>
              <w:pStyle w:val="Compact"/>
              <w:jc w:val="left"/>
            </w:pPr>
            <w:r>
              <w:t xml:space="preserve">Chemist Professional Dispensing Fee</w:t>
            </w:r>
          </w:p>
        </w:tc>
        <w:tc>
          <w:tcPr/>
          <w:p>
            <w:pPr>
              <w:pStyle w:val="Compact"/>
              <w:jc w:val="left"/>
            </w:pPr>
            <w:r>
              <w:t xml:space="preserve">15.000 KWD</w:t>
            </w:r>
          </w:p>
        </w:tc>
      </w:tr>
      <w:tr>
        <w:tc>
          <w:tcPr/>
          <w:p>
            <w:pPr>
              <w:pStyle w:val="Compact"/>
              <w:jc w:val="left"/>
            </w:pPr>
            <w:r>
              <w:t xml:space="preserve">Refrigerated Storage &amp; Handling (Kuwait Kuwait City Logistics)</w:t>
            </w:r>
          </w:p>
        </w:tc>
        <w:tc>
          <w:tcPr/>
          <w:p>
            <w:pPr>
              <w:pStyle w:val="Compact"/>
              <w:jc w:val="left"/>
            </w:pPr>
            <w:r>
              <w:t xml:space="preserve">8.500 KWD</w:t>
            </w:r>
          </w:p>
        </w:tc>
      </w:tr>
      <w:tr>
        <w:tc>
          <w:tcPr/>
          <w:p>
            <w:pPr>
              <w:pStyle w:val="Compact"/>
              <w:jc w:val="left"/>
            </w:pPr>
            <w:r>
              <w:t xml:space="preserve">Discount (Corporate Agreement – 5%)</w:t>
            </w:r>
          </w:p>
        </w:tc>
        <w:tc>
          <w:tcPr/>
          <w:p>
            <w:pPr>
              <w:pStyle w:val="Compact"/>
              <w:jc w:val="left"/>
            </w:pPr>
            <w:r>
              <w:t xml:space="preserve">-38.225 KWD</w:t>
            </w:r>
          </w:p>
        </w:tc>
      </w:tr>
      <w:tr>
        <w:tc>
          <w:tcPr/>
          <w:p>
            <w:pPr>
              <w:pStyle w:val="Compact"/>
              <w:jc w:val="left"/>
            </w:pPr>
            <w:r>
              <w:t xml:space="preserve">Grand Total Due</w:t>
            </w:r>
          </w:p>
        </w:tc>
        <w:tc>
          <w:tcPr/>
          <w:p>
            <w:pPr>
              <w:pStyle w:val="Compact"/>
              <w:jc w:val="left"/>
            </w:pPr>
            <w:r>
              <w:t xml:space="preserve">749.775 KWD</w:t>
            </w:r>
          </w:p>
        </w:tc>
      </w:tr>
    </w:tbl>
    <w:bookmarkStart w:id="24" w:name="Xe8703cffdc4bd6fa68a9ebbf30cbaf3235a736c"/>
    <w:p>
      <w:pPr>
        <w:pStyle w:val="Heading3"/>
      </w:pPr>
      <w:r>
        <w:t xml:space="preserve">Terms &amp; Conditions – Al-Nour Chemist, Kuwait Kuwait City</w:t>
      </w:r>
    </w:p>
    <w:p>
      <w:pPr>
        <w:pStyle w:val="FirstParagraph"/>
      </w:pPr>
      <w:r>
        <w:t xml:space="preserve">This invoice is issued by Al-Nour Chemist, a fully licensed and registered chemist and pharmacy operating under the supervision of the Ministry of Health in Kuwait Kuwait City. All pharmaceutical products listed on this invoice have been sourced from approved manufacturers and distributors in compliance with Kuwaiti pharmaceutical regulations.</w:t>
      </w:r>
    </w:p>
    <w:p>
      <w:pPr>
        <w:numPr>
          <w:ilvl w:val="0"/>
          <w:numId w:val="1001"/>
        </w:numPr>
        <w:pStyle w:val="Compact"/>
      </w:pPr>
      <w:r>
        <w:t xml:space="preserve">Payment is due within fourteen (14) calendar days from the date of this invoice. Late payments shall incur a penalty of 2% per month as per Kuwaiti commercial law.</w:t>
      </w:r>
    </w:p>
    <w:p>
      <w:pPr>
        <w:numPr>
          <w:ilvl w:val="0"/>
          <w:numId w:val="1001"/>
        </w:numPr>
        <w:pStyle w:val="Compact"/>
      </w:pPr>
      <w:r>
        <w:t xml:space="preserve">All prescription medications dispensed by this chemist require a valid prescription from a licensed physician registered in Kuwait Kuwait City. The chemist reserves the right to verify prescriptions prior to dispensing.</w:t>
      </w:r>
    </w:p>
    <w:p>
      <w:pPr>
        <w:numPr>
          <w:ilvl w:val="0"/>
          <w:numId w:val="1001"/>
        </w:numPr>
        <w:pStyle w:val="Compact"/>
      </w:pPr>
      <w:r>
        <w:t xml:space="preserve">Refrigerated and temperature-sensitive products must be collected or delivered within 24 hours of dispensing to maintain pharmaceutical integrity. Al-Nour Chemist in Kuwait Kuwait City provides cold-chain logistics for all such items.</w:t>
      </w:r>
    </w:p>
    <w:p>
      <w:pPr>
        <w:numPr>
          <w:ilvl w:val="0"/>
          <w:numId w:val="1001"/>
        </w:numPr>
        <w:pStyle w:val="Compact"/>
      </w:pPr>
      <w:r>
        <w:t xml:space="preserve">Any unused or expired medications may not be returned to the chemist for credit or refund, in accordance with Kuwaiti Ministry of Health guidelines on pharmaceutical waste management.</w:t>
      </w:r>
    </w:p>
    <w:p>
      <w:pPr>
        <w:numPr>
          <w:ilvl w:val="0"/>
          <w:numId w:val="1001"/>
        </w:numPr>
        <w:pStyle w:val="Compact"/>
      </w:pPr>
      <w:r>
        <w:t xml:space="preserve">This invoice constitutes the complete and final agreement between Al-Nour Chemist and the billed party regarding the products and services described herein. No verbal modifications to this invoice shall be binding.</w:t>
      </w:r>
    </w:p>
    <w:p>
      <w:pPr>
        <w:numPr>
          <w:ilvl w:val="0"/>
          <w:numId w:val="1001"/>
        </w:numPr>
        <w:pStyle w:val="Compact"/>
      </w:pPr>
      <w:r>
        <w:t xml:space="preserve">For disputes or queries regarding this invoice, please contact the chemist's billing department at Al-Nour Chemist, Al-Salimiyah, Kuwait Kuwait City, within thirty (30) days of the invoice date.</w:t>
      </w:r>
    </w:p>
    <w:p>
      <w:pPr>
        <w:numPr>
          <w:ilvl w:val="0"/>
          <w:numId w:val="1001"/>
        </w:numPr>
        <w:pStyle w:val="Compact"/>
      </w:pPr>
      <w:r>
        <w:t xml:space="preserve">All prices are quoted in Kuwaiti Dinar (KWD) and are inclusive of all applicable local charges. No additional taxes are levied as Kuwait does not impose a value-added tax (VAT) on pharmaceutical products at this time.</w:t>
      </w:r>
    </w:p>
    <w:bookmarkEnd w:id="24"/>
    <w:p>
      <w:pPr>
        <w:pStyle w:val="FirstParagraph"/>
      </w:pPr>
      <w:r>
        <w:rPr>
          <w:bCs/>
          <w:b/>
        </w:rPr>
        <w:t xml:space="preserve">Al-Nour Chemist</w:t>
      </w:r>
      <w:r>
        <w:t xml:space="preserve"> </w:t>
      </w:r>
      <w:r>
        <w:t xml:space="preserve">| Al-Salimiyah District, Block 4, Street 12, Kuwait Kuwait City, P.O. Box 3847</w:t>
      </w:r>
    </w:p>
    <w:p>
      <w:pPr>
        <w:pStyle w:val="BodyText"/>
      </w:pPr>
      <w:r>
        <w:t xml:space="preserve">Ministry of Health License No. PH-2019-04872 | Commercial Registration: 112345-KW</w:t>
      </w:r>
    </w:p>
    <w:p>
      <w:pPr>
        <w:pStyle w:val="BodyText"/>
      </w:pPr>
      <w:r>
        <w:t xml:space="preserve">This invoice was generated electronically by Al-Nour Chemist's billing system. No signature is required for validity.</w:t>
      </w:r>
    </w:p>
    <w:p>
      <w:pPr>
        <w:pStyle w:val="BodyText"/>
      </w:pPr>
      <w:r>
        <w:t xml:space="preserve">Thank you for choosing Al-Nour Chemist in Kuwait Kuwait City for your pharmaceutical and health product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Al-Nour Chemist, Kuwait Kuwait City</dc:title>
  <dc:creator/>
  <dc:language>en</dc:language>
  <cp:keywords/>
  <dcterms:created xsi:type="dcterms:W3CDTF">2026-10-10T06:20:39Z</dcterms:created>
  <dcterms:modified xsi:type="dcterms:W3CDTF">2026-10-10T06:20:39Z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