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Malaysia</w:t>
      </w:r>
      <w:r>
        <w:t xml:space="preserve"> </w:t>
      </w:r>
      <w:r>
        <w:t xml:space="preserve">Kuala</w:t>
      </w:r>
      <w:r>
        <w:t xml:space="preserve"> </w:t>
      </w:r>
      <w:r>
        <w:t xml:space="preserve">Lumpur</w:t>
      </w:r>
    </w:p>
    <w:bookmarkStart w:id="20" w:name="medicare-chemist-sdn.-bhd."/>
    <w:p>
      <w:pPr>
        <w:pStyle w:val="Heading1"/>
      </w:pPr>
      <w:r>
        <w:t xml:space="preserve">MediCare Chemist Sdn. Bhd.</w:t>
      </w:r>
    </w:p>
    <w:p>
      <w:pPr>
        <w:pStyle w:val="FirstParagraph"/>
      </w:pPr>
      <w:r>
        <w:t xml:space="preserve">Lot 12, Jalan Ampang, 50450 Kuala Lumpur, Malaysia</w:t>
      </w:r>
    </w:p>
    <w:p>
      <w:pPr>
        <w:pStyle w:val="BodyText"/>
      </w:pPr>
      <w:r>
        <w:t xml:space="preserve">Tel: +603-2145 6789 | Email: billing@medicarechemist.com.my</w:t>
      </w:r>
    </w:p>
    <w:p>
      <w:pPr>
        <w:pStyle w:val="BodyText"/>
      </w:pPr>
      <w:r>
        <w:t xml:space="preserve">Registration No: 201901045678 (K)</w:t>
      </w:r>
    </w:p>
    <w:p>
      <w:pPr>
        <w:pStyle w:val="BodyText"/>
      </w:pPr>
      <w:r>
        <w:t xml:space="preserve">Pharmacy Licence No: PH-KL-2023-00847</w:t>
      </w:r>
    </w:p>
    <w:p>
      <w:pPr>
        <w:pStyle w:val="BodyText"/>
      </w:pPr>
      <w:r>
        <w:t xml:space="preserve">Registered with Pharmacy Board of Malaysia (PBM)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MC-KL-2025-04872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Dr. Ahmad bin Razali</w:t>
      </w:r>
    </w:p>
    <w:p>
      <w:pPr>
        <w:pStyle w:val="BodyText"/>
      </w:pPr>
      <w:r>
        <w:t xml:space="preserve">Cardiology Department</w:t>
      </w:r>
    </w:p>
    <w:p>
      <w:pPr>
        <w:pStyle w:val="BodyText"/>
      </w:pPr>
      <w:r>
        <w:t xml:space="preserve">Hospital Kuala Lumpur</w:t>
      </w:r>
    </w:p>
    <w:p>
      <w:pPr>
        <w:pStyle w:val="BodyText"/>
      </w:pPr>
      <w:r>
        <w:t xml:space="preserve">Jalan Pahang, 50586 Kuala Lumpur, Malaysia</w:t>
      </w:r>
    </w:p>
    <w:p>
      <w:pPr>
        <w:pStyle w:val="BodyText"/>
      </w:pPr>
      <w:r>
        <w:t xml:space="preserve">IC No: 780512-14-5523</w:t>
      </w:r>
    </w:p>
    <w:p>
      <w:pPr>
        <w:pStyle w:val="BodyText"/>
      </w:pPr>
      <w:r>
        <w:t xml:space="preserve">Email: ahmad.razali@hkl.gov.my</w:t>
      </w:r>
    </w:p>
    <w:bookmarkEnd w:id="22"/>
    <w:bookmarkStart w:id="23" w:name="chemist-details"/>
    <w:p>
      <w:pPr>
        <w:pStyle w:val="Heading3"/>
      </w:pPr>
      <w:r>
        <w:t xml:space="preserve">Chemist Details</w:t>
      </w:r>
    </w:p>
    <w:p>
      <w:pPr>
        <w:pStyle w:val="FirstParagraph"/>
      </w:pPr>
      <w:r>
        <w:rPr>
          <w:bCs/>
          <w:b/>
        </w:rPr>
        <w:t xml:space="preserve">Prepared By:</w:t>
      </w:r>
      <w:r>
        <w:t xml:space="preserve"> </w:t>
      </w:r>
      <w:r>
        <w:t xml:space="preserve">Pharmacist Lim Wei Keat</w:t>
      </w:r>
    </w:p>
    <w:p>
      <w:pPr>
        <w:pStyle w:val="BodyText"/>
      </w:pPr>
      <w:r>
        <w:rPr>
          <w:bCs/>
          <w:b/>
        </w:rPr>
        <w:t xml:space="preserve">Registration:</w:t>
      </w:r>
      <w:r>
        <w:t xml:space="preserve"> </w:t>
      </w:r>
      <w:r>
        <w:t xml:space="preserve">PBM Reg. No. 12345</w:t>
      </w:r>
    </w:p>
    <w:p>
      <w:pPr>
        <w:pStyle w:val="BodyText"/>
      </w:pPr>
      <w:r>
        <w:rPr>
          <w:bCs/>
          <w:b/>
        </w:rPr>
        <w:t xml:space="preserve">Department:</w:t>
      </w:r>
      <w:r>
        <w:t xml:space="preserve"> </w:t>
      </w:r>
      <w:r>
        <w:t xml:space="preserve">Clinical Pharmacy</w:t>
      </w:r>
    </w:p>
    <w:p>
      <w:pPr>
        <w:pStyle w:val="BodyText"/>
      </w:pPr>
      <w:r>
        <w:rPr>
          <w:bCs/>
          <w:b/>
        </w:rPr>
        <w:t xml:space="preserve">Reference:</w:t>
      </w:r>
      <w:r>
        <w:t xml:space="preserve"> </w:t>
      </w:r>
      <w:r>
        <w:t xml:space="preserve">Rx-2025-0615-0034</w:t>
      </w:r>
    </w:p>
    <w:p>
      <w:pPr>
        <w:pStyle w:val="BodyText"/>
      </w:pPr>
      <w:r>
        <w:rPr>
          <w:bCs/>
          <w:b/>
        </w:rPr>
        <w:t xml:space="preserve">Prescription Ref:</w:t>
      </w:r>
      <w:r>
        <w:t xml:space="preserve"> </w:t>
      </w:r>
      <w:r>
        <w:t xml:space="preserve">HKL-CARD-8821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Pharmaceutical Item</w:t>
            </w:r>
          </w:p>
        </w:tc>
        <w:tc>
          <w:tcPr/>
          <w:p>
            <w:pPr>
              <w:pStyle w:val="Compact"/>
              <w:jc w:val="left"/>
            </w:pPr>
            <w:r>
              <w:t xml:space="preserve">Product Code</w:t>
            </w:r>
          </w:p>
        </w:tc>
        <w:tc>
          <w:tcPr/>
          <w:p>
            <w:pPr>
              <w:pStyle w:val="Compact"/>
              <w:jc w:val="left"/>
            </w:pPr>
            <w:r>
              <w:t xml:space="preserve">Qty</w:t>
            </w:r>
          </w:p>
        </w:tc>
        <w:tc>
          <w:tcPr/>
          <w:p>
            <w:pPr>
              <w:pStyle w:val="Compact"/>
              <w:jc w:val="left"/>
            </w:pPr>
            <w:r>
              <w:t xml:space="preserve">Unit Price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Atorvastatin 40mg Tablets (Lipitor) – 30 tablets per strip, 3 strips. Prescribed for hyperlipidaemia management. Dispensed by licensed chemist in accordance with Malaysian pharmaceutical regulations.</w:t>
            </w:r>
          </w:p>
        </w:tc>
        <w:tc>
          <w:tcPr/>
          <w:p>
            <w:pPr>
              <w:pStyle w:val="Compact"/>
              <w:jc w:val="left"/>
            </w:pPr>
            <w:r>
              <w:t xml:space="preserve">ATV-40-30T</w:t>
            </w:r>
          </w:p>
        </w:tc>
        <w:tc>
          <w:tcPr/>
          <w:p>
            <w:pPr>
              <w:pStyle w:val="Compact"/>
              <w:jc w:val="left"/>
            </w:pPr>
            <w:r>
              <w:t xml:space="preserve">3</w:t>
            </w:r>
          </w:p>
        </w:tc>
        <w:tc>
          <w:tcPr/>
          <w:p>
            <w:pPr>
              <w:pStyle w:val="Compact"/>
              <w:jc w:val="left"/>
            </w:pPr>
            <w:r>
              <w:t xml:space="preserve">45.50</w:t>
            </w:r>
          </w:p>
        </w:tc>
        <w:tc>
          <w:tcPr/>
          <w:p>
            <w:pPr>
              <w:pStyle w:val="Compact"/>
              <w:jc w:val="left"/>
            </w:pPr>
            <w:r>
              <w:t xml:space="preserve">136.50</w:t>
            </w:r>
          </w:p>
        </w:tc>
      </w:tr>
      <w:tr>
        <w:tc>
          <w:tcPr/>
          <w:p>
            <w:pPr>
              <w:pStyle w:val="Compact"/>
              <w:jc w:val="left"/>
            </w:pPr>
            <w:r>
              <w:t xml:space="preserve">2</w:t>
            </w:r>
          </w:p>
        </w:tc>
        <w:tc>
          <w:tcPr/>
          <w:p>
            <w:pPr>
              <w:pStyle w:val="Compact"/>
              <w:jc w:val="left"/>
            </w:pPr>
            <w:r>
              <w:t xml:space="preserve">Metoprolol Tartrate 50mg Tablets – 60 tablets per bottle. Beta-blocker for hypertension and angina pectoris. Sourced from approved Malaysian pharmaceutical distributors.</w:t>
            </w:r>
          </w:p>
        </w:tc>
        <w:tc>
          <w:tcPr/>
          <w:p>
            <w:pPr>
              <w:pStyle w:val="Compact"/>
              <w:jc w:val="left"/>
            </w:pPr>
            <w:r>
              <w:t xml:space="preserve">MET-50-60T</w:t>
            </w:r>
          </w:p>
        </w:tc>
        <w:tc>
          <w:tcPr/>
          <w:p>
            <w:pPr>
              <w:pStyle w:val="Compact"/>
              <w:jc w:val="left"/>
            </w:pPr>
            <w:r>
              <w:t xml:space="preserve">2</w:t>
            </w:r>
          </w:p>
        </w:tc>
        <w:tc>
          <w:tcPr/>
          <w:p>
            <w:pPr>
              <w:pStyle w:val="Compact"/>
              <w:jc w:val="left"/>
            </w:pPr>
            <w:r>
              <w:t xml:space="preserve">38.00</w:t>
            </w:r>
          </w:p>
        </w:tc>
        <w:tc>
          <w:tcPr/>
          <w:p>
            <w:pPr>
              <w:pStyle w:val="Compact"/>
              <w:jc w:val="left"/>
            </w:pPr>
            <w:r>
              <w:t xml:space="preserve">76.00</w:t>
            </w:r>
          </w:p>
        </w:tc>
      </w:tr>
      <w:tr>
        <w:tc>
          <w:tcPr/>
          <w:p>
            <w:pPr>
              <w:pStyle w:val="Compact"/>
              <w:jc w:val="left"/>
            </w:pPr>
            <w:r>
              <w:t xml:space="preserve">3</w:t>
            </w:r>
          </w:p>
        </w:tc>
        <w:tc>
          <w:tcPr/>
          <w:p>
            <w:pPr>
              <w:pStyle w:val="Compact"/>
              <w:jc w:val="left"/>
            </w:pPr>
            <w:r>
              <w:t xml:space="preserve">Aspirin 75mg Enteric-Coated Tablets – 30 tablets per blister, 2 blisters. Antiplatelet therapy for cardiovascular protection. Quality assured under Malaysian Drug Administration (NPRA) standards.</w:t>
            </w:r>
          </w:p>
        </w:tc>
        <w:tc>
          <w:tcPr/>
          <w:p>
            <w:pPr>
              <w:pStyle w:val="Compact"/>
              <w:jc w:val="left"/>
            </w:pPr>
            <w:r>
              <w:t xml:space="preserve">ASP-75-30T</w:t>
            </w:r>
          </w:p>
        </w:tc>
        <w:tc>
          <w:tcPr/>
          <w:p>
            <w:pPr>
              <w:pStyle w:val="Compact"/>
              <w:jc w:val="left"/>
            </w:pPr>
            <w:r>
              <w:t xml:space="preserve">2</w:t>
            </w:r>
          </w:p>
        </w:tc>
        <w:tc>
          <w:tcPr/>
          <w:p>
            <w:pPr>
              <w:pStyle w:val="Compact"/>
              <w:jc w:val="left"/>
            </w:pPr>
            <w:r>
              <w:t xml:space="preserve">12.80</w:t>
            </w:r>
          </w:p>
        </w:tc>
        <w:tc>
          <w:tcPr/>
          <w:p>
            <w:pPr>
              <w:pStyle w:val="Compact"/>
              <w:jc w:val="left"/>
            </w:pPr>
            <w:r>
              <w:t xml:space="preserve">25.60</w:t>
            </w:r>
          </w:p>
        </w:tc>
      </w:tr>
      <w:tr>
        <w:tc>
          <w:tcPr/>
          <w:p>
            <w:pPr>
              <w:pStyle w:val="Compact"/>
              <w:jc w:val="left"/>
            </w:pPr>
            <w:r>
              <w:t xml:space="preserve">4</w:t>
            </w:r>
          </w:p>
        </w:tc>
        <w:tc>
          <w:tcPr/>
          <w:p>
            <w:pPr>
              <w:pStyle w:val="Compact"/>
              <w:jc w:val="left"/>
            </w:pPr>
            <w:r>
              <w:t xml:space="preserve">Ramipril 5mg Tablets – 30 tablets per strip, 2 strips. ACE inhibitor for blood pressure management. Dispensed with patient counselling by the chemist on-site at our Kuala Lumpur branch.</w:t>
            </w:r>
          </w:p>
        </w:tc>
        <w:tc>
          <w:tcPr/>
          <w:p>
            <w:pPr>
              <w:pStyle w:val="Compact"/>
              <w:jc w:val="left"/>
            </w:pPr>
            <w:r>
              <w:t xml:space="preserve">RAM-5-30T</w:t>
            </w:r>
          </w:p>
        </w:tc>
        <w:tc>
          <w:tcPr/>
          <w:p>
            <w:pPr>
              <w:pStyle w:val="Compact"/>
              <w:jc w:val="left"/>
            </w:pPr>
            <w:r>
              <w:t xml:space="preserve">2</w:t>
            </w:r>
          </w:p>
        </w:tc>
        <w:tc>
          <w:tcPr/>
          <w:p>
            <w:pPr>
              <w:pStyle w:val="Compact"/>
              <w:jc w:val="left"/>
            </w:pPr>
            <w:r>
              <w:t xml:space="preserve">28.40</w:t>
            </w:r>
          </w:p>
        </w:tc>
        <w:tc>
          <w:tcPr/>
          <w:p>
            <w:pPr>
              <w:pStyle w:val="Compact"/>
              <w:jc w:val="left"/>
            </w:pPr>
            <w:r>
              <w:t xml:space="preserve">56.80</w:t>
            </w:r>
          </w:p>
        </w:tc>
      </w:tr>
      <w:tr>
        <w:tc>
          <w:tcPr/>
          <w:p>
            <w:pPr>
              <w:pStyle w:val="Compact"/>
              <w:jc w:val="left"/>
            </w:pPr>
            <w:r>
              <w:t xml:space="preserve">5</w:t>
            </w:r>
          </w:p>
        </w:tc>
        <w:tc>
          <w:tcPr/>
          <w:p>
            <w:pPr>
              <w:pStyle w:val="Compact"/>
              <w:jc w:val="left"/>
            </w:pPr>
            <w:r>
              <w:t xml:space="preserve">Pharmaceutical Consultation and Medication Review Service – Comprehensive drug interaction check, dosage verification, and patient education session conducted by a registered pharmacist at the chemist counter in Kuala Lumpur, Malaysia.</w:t>
            </w:r>
          </w:p>
        </w:tc>
        <w:tc>
          <w:tcPr/>
          <w:p>
            <w:pPr>
              <w:pStyle w:val="Compact"/>
              <w:jc w:val="left"/>
            </w:pPr>
            <w:r>
              <w:t xml:space="preserve">SVC-CONSULT-01</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t xml:space="preserve">Home Delivery and Cold Chain Logistics – Temperature-controlled delivery of all pharmaceutical items to Hospital Kuala Lumpur within the Klang Valley region. Includes GPS tracking and delivery confirmation.</w:t>
            </w:r>
          </w:p>
        </w:tc>
        <w:tc>
          <w:tcPr/>
          <w:p>
            <w:pPr>
              <w:pStyle w:val="Compact"/>
              <w:jc w:val="left"/>
            </w:pPr>
            <w:r>
              <w:t xml:space="preserve">SVC-DELIVERY-KL</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370.90</w:t>
            </w:r>
          </w:p>
        </w:tc>
      </w:tr>
      <w:tr>
        <w:tc>
          <w:tcPr/>
          <w:p>
            <w:pPr>
              <w:pStyle w:val="Compact"/>
              <w:jc w:val="left"/>
            </w:pPr>
            <w:r>
              <w:t xml:space="preserve">SST (Sales &amp; Service Tax) @ 6%</w:t>
            </w:r>
          </w:p>
        </w:tc>
        <w:tc>
          <w:tcPr/>
          <w:p>
            <w:pPr>
              <w:pStyle w:val="Compact"/>
              <w:jc w:val="left"/>
            </w:pPr>
            <w:r>
              <w:t xml:space="preserve">RM 22.25</w:t>
            </w:r>
          </w:p>
        </w:tc>
      </w:tr>
      <w:tr>
        <w:tc>
          <w:tcPr/>
          <w:p>
            <w:pPr>
              <w:pStyle w:val="Compact"/>
              <w:jc w:val="left"/>
            </w:pPr>
            <w:r>
              <w:t xml:space="preserve">Discount (Hospital Corporate Rate)</w:t>
            </w:r>
          </w:p>
        </w:tc>
        <w:tc>
          <w:tcPr/>
          <w:p>
            <w:pPr>
              <w:pStyle w:val="Compact"/>
              <w:jc w:val="left"/>
            </w:pPr>
            <w:r>
              <w:t xml:space="preserve">- RM 18.55</w:t>
            </w:r>
          </w:p>
        </w:tc>
      </w:tr>
      <w:tr>
        <w:tc>
          <w:tcPr/>
          <w:p>
            <w:pPr>
              <w:pStyle w:val="Compact"/>
              <w:jc w:val="left"/>
            </w:pPr>
            <w:r>
              <w:t xml:space="preserve">GRAND TOTAL (MYR)</w:t>
            </w:r>
          </w:p>
        </w:tc>
        <w:tc>
          <w:tcPr/>
          <w:p>
            <w:pPr>
              <w:pStyle w:val="Compact"/>
              <w:jc w:val="left"/>
            </w:pPr>
            <w:r>
              <w:t xml:space="preserve">RM 374.60</w:t>
            </w:r>
          </w:p>
        </w:tc>
      </w:tr>
    </w:tbl>
    <w:bookmarkStart w:id="24" w:name="payment-instructions"/>
    <w:p>
      <w:pPr>
        <w:pStyle w:val="Heading3"/>
      </w:pPr>
      <w:r>
        <w:t xml:space="preserve">Payment Instructions</w:t>
      </w:r>
    </w:p>
    <w:p>
      <w:pPr>
        <w:pStyle w:val="FirstParagraph"/>
      </w:pPr>
      <w:r>
        <w:t xml:space="preserve">Please remit payment for this Invoice within fifteen (15) calendar days from the date of issue. Payment may be made via bank transfer to the following account maintained by MediCare Chemist Sdn. Bhd. in Kuala Lumpur, Malaysia:</w:t>
      </w:r>
    </w:p>
    <w:p>
      <w:pPr>
        <w:pStyle w:val="BodyText"/>
      </w:pPr>
      <w:r>
        <w:rPr>
          <w:bCs/>
          <w:b/>
        </w:rPr>
        <w:t xml:space="preserve">Bank:</w:t>
      </w:r>
      <w:r>
        <w:t xml:space="preserve"> </w:t>
      </w:r>
      <w:r>
        <w:t xml:space="preserve">Maybank Berhad</w:t>
      </w:r>
    </w:p>
    <w:p>
      <w:pPr>
        <w:pStyle w:val="BodyText"/>
      </w:pPr>
      <w:r>
        <w:rPr>
          <w:bCs/>
          <w:b/>
        </w:rPr>
        <w:t xml:space="preserve">Account Name:</w:t>
      </w:r>
      <w:r>
        <w:t xml:space="preserve"> </w:t>
      </w:r>
      <w:r>
        <w:t xml:space="preserve">MediCare Chemist Sdn. Bhd.</w:t>
      </w:r>
    </w:p>
    <w:p>
      <w:pPr>
        <w:pStyle w:val="BodyText"/>
      </w:pPr>
      <w:r>
        <w:rPr>
          <w:bCs/>
          <w:b/>
        </w:rPr>
        <w:t xml:space="preserve">Account No:</w:t>
      </w:r>
      <w:r>
        <w:t xml:space="preserve"> </w:t>
      </w:r>
      <w:r>
        <w:t xml:space="preserve">5123-4567-8901</w:t>
      </w:r>
    </w:p>
    <w:p>
      <w:pPr>
        <w:pStyle w:val="BodyText"/>
      </w:pPr>
      <w:r>
        <w:rPr>
          <w:bCs/>
          <w:b/>
        </w:rPr>
        <w:t xml:space="preserve">SWIFT Code:</w:t>
      </w:r>
      <w:r>
        <w:t xml:space="preserve"> </w:t>
      </w:r>
      <w:r>
        <w:t xml:space="preserve">MBBEMYKL</w:t>
      </w:r>
    </w:p>
    <w:p>
      <w:pPr>
        <w:pStyle w:val="BodyText"/>
      </w:pPr>
      <w:r>
        <w:rPr>
          <w:bCs/>
          <w:b/>
        </w:rPr>
        <w:t xml:space="preserve">Reference:</w:t>
      </w:r>
      <w:r>
        <w:t xml:space="preserve"> </w:t>
      </w:r>
      <w:r>
        <w:t xml:space="preserve">MC-KL-2025-04872</w:t>
      </w:r>
    </w:p>
    <w:p>
      <w:pPr>
        <w:pStyle w:val="BodyText"/>
      </w:pPr>
      <w:r>
        <w:t xml:space="preserve">Please quote the Invoice number as the payment reference. For corporate billing, a copy of the bank transfer receipt must be forwarded to our accounts department at billing@medicarechemist.com.my.</w:t>
      </w:r>
    </w:p>
    <w:bookmarkEnd w:id="24"/>
    <w:bookmarkStart w:id="25" w:name="important-notes-and-terms"/>
    <w:p>
      <w:pPr>
        <w:pStyle w:val="Heading3"/>
      </w:pPr>
      <w:r>
        <w:t xml:space="preserve">Important Notes and Terms</w:t>
      </w:r>
    </w:p>
    <w:p>
      <w:pPr>
        <w:pStyle w:val="FirstParagraph"/>
      </w:pPr>
      <w:r>
        <w:t xml:space="preserve">1. This Invoice has been issued by a licensed Chemist operating under the Pharmacy Act 1952 (Act 134) and the Pharmacy and Poisons Ordinance, in full compliance with the regulations set by the Pharmacy Board of Malaysia (PBM) and the National Pharmaceutical Regulatory Agency (NPRA).</w:t>
      </w:r>
    </w:p>
    <w:p>
      <w:pPr>
        <w:pStyle w:val="BodyText"/>
      </w:pPr>
      <w:r>
        <w:t xml:space="preserve">2. All pharmaceutical products listed in this Invoice have been sourced from authorised distributors registered with the Malaysian Ministry of Health. Each product carries a valid batch number and expiry date as per Malaysian pharmaceutical import and distribution standards.</w:t>
      </w:r>
    </w:p>
    <w:p>
      <w:pPr>
        <w:pStyle w:val="BodyText"/>
      </w:pPr>
      <w:r>
        <w:t xml:space="preserve">3. The Chemist responsible for dispensing and verifying this order is Pharmacist Lim Wei Keat, registered with the Pharmacy Board of Malaysia under Registration Number 12345. All dispensing activities were conducted at our registered premises in Kuala Lumpur, Malaysia.</w:t>
      </w:r>
    </w:p>
    <w:p>
      <w:pPr>
        <w:pStyle w:val="BodyText"/>
      </w:pPr>
      <w:r>
        <w:t xml:space="preserve">4. This Invoice is valid for a period of ninety (90) days from the date of issue. Any payment received after the due date of 30 June 2025 shall be subject to a late payment surcharge of 2% per month as stipulated in our corporate service agreement.</w:t>
      </w:r>
    </w:p>
    <w:p>
      <w:pPr>
        <w:pStyle w:val="BodyText"/>
      </w:pPr>
      <w:r>
        <w:t xml:space="preserve">5. In the event of any discrepancy in the items listed, please contact the Chemist on duty at our Kuala Lumpur branch within five (5) working days of receiving this Invoice. All returns of unopened pharmaceutical products must be accompanied by the original packaging and the corresponding prescription reference.</w:t>
      </w:r>
    </w:p>
    <w:p>
      <w:pPr>
        <w:pStyle w:val="BodyText"/>
      </w:pPr>
      <w:r>
        <w:t xml:space="preserve">6. This document serves as the official Invoice for all billing, tax, and accounting purposes in Malaysia. A duplicate copy may be requested from our accounts department by providing the Invoice number and the registered company identification.</w:t>
      </w:r>
    </w:p>
    <w:p>
      <w:pPr>
        <w:pStyle w:val="BodyText"/>
      </w:pPr>
      <w:r>
        <w:t xml:space="preserve">7. MediCare Chemist Sdn. Bhd. is a registered entity in Malaysia Kuala Lumpur and operates in accordance with all applicable local, state, and federal regulations governing the sale, dispensing, and distribution of pharmaceutical products within the country.</w:t>
      </w:r>
    </w:p>
    <w:bookmarkEnd w:id="25"/>
    <w:p>
      <w:pPr>
        <w:pStyle w:val="BodyText"/>
      </w:pPr>
      <w:r>
        <w:rPr>
          <w:bCs/>
          <w:b/>
        </w:rPr>
        <w:t xml:space="preserve">MediCare Chemist Sdn. Bhd.</w:t>
      </w:r>
      <w:r>
        <w:t xml:space="preserve"> </w:t>
      </w:r>
      <w:r>
        <w:t xml:space="preserve">| Lot 12, Jalan Ampang, 50450 Kuala Lumpur, Malaysia</w:t>
      </w:r>
    </w:p>
    <w:p>
      <w:pPr>
        <w:pStyle w:val="BodyText"/>
      </w:pPr>
      <w:r>
        <w:t xml:space="preserve">Pharmacy Licence No: PH-KL-2023-00847 | Company Reg: 201901045678 (K) | SST Reg: 0019 5678 9012</w:t>
      </w:r>
    </w:p>
    <w:p>
      <w:pPr>
        <w:pStyle w:val="BodyText"/>
      </w:pPr>
      <w:r>
        <w:t xml:space="preserve">This Invoice was generated electronically and is valid without a physical signature. For queries, contact our Kuala Lumpur office at +603-2145 6789.</w:t>
      </w:r>
    </w:p>
    <w:p>
      <w:pPr>
        <w:pStyle w:val="BodyText"/>
      </w:pPr>
      <w:r>
        <w:t xml:space="preserve">Thank you for choosing MediCare Chemist in Malaysia Kuala Lumpur for your pharmaceutical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Malaysia Kuala Lumpur</dc:title>
  <dc:creator/>
  <dc:language>en</dc:language>
  <cp:keywords/>
  <dcterms:created xsi:type="dcterms:W3CDTF">2026-10-10T03:00:09Z</dcterms:created>
  <dcterms:modified xsi:type="dcterms:W3CDTF">2026-10-10T03:00:09Z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