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Chemist</w:t>
      </w:r>
      <w:r>
        <w:t xml:space="preserve"> </w:t>
      </w:r>
      <w:r>
        <w:t xml:space="preserve">Mexico</w:t>
      </w:r>
      <w:r>
        <w:t xml:space="preserve"> </w:t>
      </w:r>
      <w:r>
        <w:t xml:space="preserve">Mexico</w:t>
      </w:r>
      <w:r>
        <w:t xml:space="preserve"> </w:t>
      </w:r>
      <w:r>
        <w:t xml:space="preserve">City</w:t>
      </w:r>
    </w:p>
    <w:bookmarkStart w:id="20" w:name="química-del-centro-chemist"/>
    <w:p>
      <w:pPr>
        <w:pStyle w:val="Heading1"/>
      </w:pPr>
      <w:r>
        <w:t xml:space="preserve">Química del Centro Chemist</w:t>
      </w:r>
    </w:p>
    <w:p>
      <w:pPr>
        <w:pStyle w:val="FirstParagraph"/>
      </w:pPr>
      <w:r>
        <w:t xml:space="preserve">Authorized Chemist &amp; Pharmaceutical Dispensary</w:t>
      </w:r>
    </w:p>
    <w:p>
      <w:pPr>
        <w:pStyle w:val="BodyText"/>
      </w:pPr>
      <w:r>
        <w:t xml:space="preserve">Av. Paseo de la Reforma 245, Col. Juárez</w:t>
      </w:r>
    </w:p>
    <w:p>
      <w:pPr>
        <w:pStyle w:val="BodyText"/>
      </w:pPr>
      <w:r>
        <w:t xml:space="preserve">Mexico Mexico City, C.P. 06600</w:t>
      </w:r>
    </w:p>
    <w:p>
      <w:pPr>
        <w:pStyle w:val="BodyText"/>
      </w:pPr>
      <w:r>
        <w:t xml:space="preserve">Tel: +52 (55) 5512-3456 | Email: billing@quimicadelfcentro.mx</w:t>
      </w:r>
    </w:p>
    <w:p>
      <w:pPr>
        <w:pStyle w:val="BodyText"/>
      </w:pPr>
      <w:r>
        <w:t xml:space="preserve">RFC: QDC180520MX7 | SAT Registration: 18-05-20-00012345-678</w:t>
      </w:r>
    </w:p>
    <w:p>
      <w:pPr>
        <w:pStyle w:val="BodyText"/>
      </w:pPr>
      <w:r>
        <w:t xml:space="preserve">Licensed Chemist – Mexico City Health Authority</w:t>
      </w:r>
    </w:p>
    <w:bookmarkEnd w:id="20"/>
    <w:bookmarkStart w:id="21" w:name="invoice"/>
    <w:p>
      <w:pPr>
        <w:pStyle w:val="Heading2"/>
      </w:pPr>
      <w:r>
        <w:t xml:space="preserve">INVOICE</w:t>
      </w:r>
    </w:p>
    <w:p>
      <w:pPr>
        <w:pStyle w:val="FirstParagraph"/>
      </w:pPr>
      <w:r>
        <w:t xml:space="preserve">Invoice No. QDC-2025-004872</w:t>
      </w:r>
    </w:p>
    <w:p>
      <w:pPr>
        <w:pStyle w:val="BodyText"/>
      </w:pPr>
      <w:r>
        <w:t xml:space="preserve">Date of Issue: June 15, 2025</w:t>
      </w:r>
    </w:p>
    <w:p>
      <w:pPr>
        <w:pStyle w:val="BodyText"/>
      </w:pPr>
      <w:r>
        <w:t xml:space="preserve">Due Date: July 15, 2025</w:t>
      </w:r>
    </w:p>
    <w:p>
      <w:pPr>
        <w:pStyle w:val="BodyText"/>
      </w:pPr>
      <w:r>
        <w:t xml:space="preserve">Payment Terms: Net 30 Days</w:t>
      </w:r>
    </w:p>
    <w:bookmarkEnd w:id="21"/>
    <w:bookmarkStart w:id="22" w:name="billed-to"/>
    <w:p>
      <w:pPr>
        <w:pStyle w:val="Heading3"/>
      </w:pPr>
      <w:r>
        <w:t xml:space="preserve">Billed To</w:t>
      </w:r>
    </w:p>
    <w:p>
      <w:pPr>
        <w:pStyle w:val="FirstParagraph"/>
      </w:pPr>
      <w:r>
        <w:rPr>
          <w:bCs/>
          <w:b/>
        </w:rPr>
        <w:t xml:space="preserve">Hospital General de México "Dr. Eduardo Liceaga"</w:t>
      </w:r>
    </w:p>
    <w:p>
      <w:pPr>
        <w:pStyle w:val="BodyText"/>
      </w:pPr>
      <w:r>
        <w:t xml:space="preserve">Departamento de Farmacia y Suministros</w:t>
      </w:r>
    </w:p>
    <w:p>
      <w:pPr>
        <w:pStyle w:val="BodyText"/>
      </w:pPr>
      <w:r>
        <w:t xml:space="preserve">Paseo de la Reforma S/N, Col. Doctores</w:t>
      </w:r>
    </w:p>
    <w:p>
      <w:pPr>
        <w:pStyle w:val="BodyText"/>
      </w:pPr>
      <w:r>
        <w:t xml:space="preserve">Mexico Mexico City, C.P. 06700</w:t>
      </w:r>
    </w:p>
    <w:p>
      <w:pPr>
        <w:pStyle w:val="BodyText"/>
      </w:pPr>
      <w:r>
        <w:t xml:space="preserve">Attn: Lic. María Fernanda Gutiérrez, Head of Pharmacy</w:t>
      </w:r>
    </w:p>
    <w:p>
      <w:pPr>
        <w:pStyle w:val="BodyText"/>
      </w:pPr>
      <w:r>
        <w:t xml:space="preserve">PO Reference: HGM-2025-00341</w:t>
      </w:r>
    </w:p>
    <w:bookmarkEnd w:id="22"/>
    <w:bookmarkStart w:id="23" w:name="invoice-details"/>
    <w:p>
      <w:pPr>
        <w:pStyle w:val="Heading3"/>
      </w:pPr>
      <w:r>
        <w:t xml:space="preserve">Invoice Details</w:t>
      </w:r>
    </w:p>
    <w:p>
      <w:pPr>
        <w:pStyle w:val="FirstParagraph"/>
      </w:pPr>
      <w:r>
        <w:rPr>
          <w:bCs/>
          <w:b/>
        </w:rPr>
        <w:t xml:space="preserve">Invoice Type:</w:t>
      </w:r>
      <w:r>
        <w:t xml:space="preserve"> </w:t>
      </w:r>
      <w:r>
        <w:t xml:space="preserve">Commercial (Factura)</w:t>
      </w:r>
    </w:p>
    <w:p>
      <w:pPr>
        <w:pStyle w:val="BodyText"/>
      </w:pPr>
      <w:r>
        <w:rPr>
          <w:bCs/>
          <w:b/>
        </w:rPr>
        <w:t xml:space="preserve">Currency:</w:t>
      </w:r>
      <w:r>
        <w:t xml:space="preserve"> </w:t>
      </w:r>
      <w:r>
        <w:t xml:space="preserve">Mexican Peso (MXN)</w:t>
      </w:r>
    </w:p>
    <w:p>
      <w:pPr>
        <w:pStyle w:val="BodyText"/>
      </w:pPr>
      <w:r>
        <w:rPr>
          <w:bCs/>
          <w:b/>
        </w:rPr>
        <w:t xml:space="preserve">Payment Method:</w:t>
      </w:r>
      <w:r>
        <w:t xml:space="preserve"> </w:t>
      </w:r>
      <w:r>
        <w:t xml:space="preserve">Bank Transfer (SPEI)</w:t>
      </w:r>
    </w:p>
    <w:p>
      <w:pPr>
        <w:pStyle w:val="BodyText"/>
      </w:pPr>
      <w:r>
        <w:rPr>
          <w:bCs/>
          <w:b/>
        </w:rPr>
        <w:t xml:space="preserve">Bank:</w:t>
      </w:r>
      <w:r>
        <w:t xml:space="preserve"> </w:t>
      </w:r>
      <w:r>
        <w:t xml:space="preserve">BBVA México</w:t>
      </w:r>
    </w:p>
    <w:p>
      <w:pPr>
        <w:pStyle w:val="BodyText"/>
      </w:pPr>
      <w:r>
        <w:rPr>
          <w:bCs/>
          <w:b/>
        </w:rPr>
        <w:t xml:space="preserve">CLABE:</w:t>
      </w:r>
      <w:r>
        <w:t xml:space="preserve"> </w:t>
      </w:r>
      <w:r>
        <w:t xml:space="preserve">012180001234567890</w:t>
      </w:r>
    </w:p>
    <w:p>
      <w:pPr>
        <w:pStyle w:val="BodyText"/>
      </w:pPr>
      <w:r>
        <w:rPr>
          <w:bCs/>
          <w:b/>
        </w:rPr>
        <w:t xml:space="preserve">Branch:</w:t>
      </w:r>
      <w:r>
        <w:t xml:space="preserve"> </w:t>
      </w:r>
      <w:r>
        <w:t xml:space="preserve">Mexico Mexico City – Juárez</w:t>
      </w:r>
    </w:p>
    <w:bookmarkEnd w:id="23"/>
    <w:tbl>
      <w:tblPr>
        <w:tblStyle w:val="Table"/>
        <w:tblW w:type="auto" w:w="0"/>
        <w:tblLook w:firstRow="1" w:lastRow="0" w:firstColumn="0" w:lastColumn="0" w:noHBand="0" w:noVBand="0" w:val="0020"/>
      </w:tblPr>
      <w:tblGrid>
        <w:gridCol w:w="1131"/>
        <w:gridCol w:w="1131"/>
        <w:gridCol w:w="1131"/>
        <w:gridCol w:w="1131"/>
        <w:gridCol w:w="1131"/>
        <w:gridCol w:w="1131"/>
        <w:gridCol w:w="1131"/>
      </w:tblGrid>
      <w:tr>
        <w:trPr>
          <w:tblHeader w:val="true"/>
        </w:trPr>
        <w:tc>
          <w:tcPr/>
          <w:p>
            <w:pPr>
              <w:pStyle w:val="Compact"/>
              <w:jc w:val="left"/>
            </w:pPr>
            <w:r>
              <w:t xml:space="preserve">#</w:t>
            </w:r>
          </w:p>
        </w:tc>
        <w:tc>
          <w:tcPr/>
          <w:p>
            <w:pPr>
              <w:pStyle w:val="Compact"/>
              <w:jc w:val="left"/>
            </w:pPr>
            <w:r>
              <w:t xml:space="preserve">Description of Chemist Products &amp; Services</w:t>
            </w:r>
          </w:p>
        </w:tc>
        <w:tc>
          <w:tcPr/>
          <w:p>
            <w:pPr>
              <w:pStyle w:val="Compact"/>
              <w:jc w:val="left"/>
            </w:pPr>
            <w:r>
              <w:t xml:space="preserve">Product Code</w:t>
            </w:r>
          </w:p>
        </w:tc>
        <w:tc>
          <w:tcPr/>
          <w:p>
            <w:pPr>
              <w:pStyle w:val="Compact"/>
              <w:jc w:val="left"/>
            </w:pPr>
            <w:r>
              <w:t xml:space="preserve">Quantity</w:t>
            </w:r>
          </w:p>
        </w:tc>
        <w:tc>
          <w:tcPr/>
          <w:p>
            <w:pPr>
              <w:pStyle w:val="Compact"/>
              <w:jc w:val="left"/>
            </w:pPr>
            <w:r>
              <w:t xml:space="preserve">Unit Price (MXN)</w:t>
            </w:r>
          </w:p>
        </w:tc>
        <w:tc>
          <w:tcPr/>
          <w:p>
            <w:pPr>
              <w:pStyle w:val="Compact"/>
              <w:jc w:val="left"/>
            </w:pPr>
            <w:r>
              <w:t xml:space="preserve">Subtotal (MXN)</w:t>
            </w:r>
          </w:p>
        </w:tc>
        <w:tc>
          <w:tcPr/>
          <w:p>
            <w:pPr>
              <w:pStyle w:val="Compact"/>
              <w:jc w:val="left"/>
            </w:pPr>
            <w:r>
              <w:t xml:space="preserve">IVA %</w:t>
            </w:r>
          </w:p>
        </w:tc>
      </w:tr>
      <w:tr>
        <w:tc>
          <w:tcPr/>
          <w:p>
            <w:pPr>
              <w:pStyle w:val="Compact"/>
              <w:jc w:val="left"/>
            </w:pPr>
            <w:r>
              <w:t xml:space="preserve">1</w:t>
            </w:r>
          </w:p>
        </w:tc>
        <w:tc>
          <w:tcPr/>
          <w:p>
            <w:pPr>
              <w:pStyle w:val="Compact"/>
              <w:jc w:val="left"/>
            </w:pPr>
            <w:r>
              <w:t xml:space="preserve">Amoxicillin 500mg Capsules – 21-count blister pack (Chemist-grade antibiotic, COFEPRIS approved)</w:t>
            </w:r>
          </w:p>
        </w:tc>
        <w:tc>
          <w:tcPr/>
          <w:p>
            <w:pPr>
              <w:pStyle w:val="Compact"/>
              <w:jc w:val="left"/>
            </w:pPr>
            <w:r>
              <w:t xml:space="preserve">QDC-AMX-500</w:t>
            </w:r>
          </w:p>
        </w:tc>
        <w:tc>
          <w:tcPr/>
          <w:p>
            <w:pPr>
              <w:pStyle w:val="Compact"/>
              <w:jc w:val="left"/>
            </w:pPr>
            <w:r>
              <w:t xml:space="preserve">250</w:t>
            </w:r>
          </w:p>
        </w:tc>
        <w:tc>
          <w:tcPr/>
          <w:p>
            <w:pPr>
              <w:pStyle w:val="Compact"/>
              <w:jc w:val="left"/>
            </w:pPr>
            <w:r>
              <w:t xml:space="preserve">$89.50</w:t>
            </w:r>
          </w:p>
        </w:tc>
        <w:tc>
          <w:tcPr/>
          <w:p>
            <w:pPr>
              <w:pStyle w:val="Compact"/>
              <w:jc w:val="left"/>
            </w:pPr>
            <w:r>
              <w:t xml:space="preserve">$22,375.00</w:t>
            </w:r>
          </w:p>
        </w:tc>
        <w:tc>
          <w:tcPr/>
          <w:p>
            <w:pPr>
              <w:pStyle w:val="Compact"/>
              <w:jc w:val="left"/>
            </w:pPr>
            <w:r>
              <w:t xml:space="preserve">16%</w:t>
            </w:r>
          </w:p>
        </w:tc>
      </w:tr>
      <w:tr>
        <w:tc>
          <w:tcPr/>
          <w:p>
            <w:pPr>
              <w:pStyle w:val="Compact"/>
              <w:jc w:val="left"/>
            </w:pPr>
            <w:r>
              <w:t xml:space="preserve">2</w:t>
            </w:r>
          </w:p>
        </w:tc>
        <w:tc>
          <w:tcPr/>
          <w:p>
            <w:pPr>
              <w:pStyle w:val="Compact"/>
              <w:jc w:val="left"/>
            </w:pPr>
            <w:r>
              <w:t xml:space="preserve">Ibuprofen 400mg Tablets – 30-count bottle (Chemist-dispensed analgesic, Mexico City regulated)</w:t>
            </w:r>
          </w:p>
        </w:tc>
        <w:tc>
          <w:tcPr/>
          <w:p>
            <w:pPr>
              <w:pStyle w:val="Compact"/>
              <w:jc w:val="left"/>
            </w:pPr>
            <w:r>
              <w:t xml:space="preserve">QDC-IBU-400</w:t>
            </w:r>
          </w:p>
        </w:tc>
        <w:tc>
          <w:tcPr/>
          <w:p>
            <w:pPr>
              <w:pStyle w:val="Compact"/>
              <w:jc w:val="left"/>
            </w:pPr>
            <w:r>
              <w:t xml:space="preserve">400</w:t>
            </w:r>
          </w:p>
        </w:tc>
        <w:tc>
          <w:tcPr/>
          <w:p>
            <w:pPr>
              <w:pStyle w:val="Compact"/>
              <w:jc w:val="left"/>
            </w:pPr>
            <w:r>
              <w:t xml:space="preserve">$45.00</w:t>
            </w:r>
          </w:p>
        </w:tc>
        <w:tc>
          <w:tcPr/>
          <w:p>
            <w:pPr>
              <w:pStyle w:val="Compact"/>
              <w:jc w:val="left"/>
            </w:pPr>
            <w:r>
              <w:t xml:space="preserve">$18,000.00</w:t>
            </w:r>
          </w:p>
        </w:tc>
        <w:tc>
          <w:tcPr/>
          <w:p>
            <w:pPr>
              <w:pStyle w:val="Compact"/>
              <w:jc w:val="left"/>
            </w:pPr>
            <w:r>
              <w:t xml:space="preserve">16%</w:t>
            </w:r>
          </w:p>
        </w:tc>
      </w:tr>
      <w:tr>
        <w:tc>
          <w:tcPr/>
          <w:p>
            <w:pPr>
              <w:pStyle w:val="Compact"/>
              <w:jc w:val="left"/>
            </w:pPr>
            <w:r>
              <w:t xml:space="preserve">3</w:t>
            </w:r>
          </w:p>
        </w:tc>
        <w:tc>
          <w:tcPr/>
          <w:p>
            <w:pPr>
              <w:pStyle w:val="Compact"/>
              <w:jc w:val="left"/>
            </w:pPr>
            <w:r>
              <w:t xml:space="preserve">Metformin 850mg Tablets – 60-count bottle (Chemist-managed diabetes medication)</w:t>
            </w:r>
          </w:p>
        </w:tc>
        <w:tc>
          <w:tcPr/>
          <w:p>
            <w:pPr>
              <w:pStyle w:val="Compact"/>
              <w:jc w:val="left"/>
            </w:pPr>
            <w:r>
              <w:t xml:space="preserve">QDC-MET-850</w:t>
            </w:r>
          </w:p>
        </w:tc>
        <w:tc>
          <w:tcPr/>
          <w:p>
            <w:pPr>
              <w:pStyle w:val="Compact"/>
              <w:jc w:val="left"/>
            </w:pPr>
            <w:r>
              <w:t xml:space="preserve">180</w:t>
            </w:r>
          </w:p>
        </w:tc>
        <w:tc>
          <w:tcPr/>
          <w:p>
            <w:pPr>
              <w:pStyle w:val="Compact"/>
              <w:jc w:val="left"/>
            </w:pPr>
            <w:r>
              <w:t xml:space="preserve">$112.00</w:t>
            </w:r>
          </w:p>
        </w:tc>
        <w:tc>
          <w:tcPr/>
          <w:p>
            <w:pPr>
              <w:pStyle w:val="Compact"/>
              <w:jc w:val="left"/>
            </w:pPr>
            <w:r>
              <w:t xml:space="preserve">$20,160.00</w:t>
            </w:r>
          </w:p>
        </w:tc>
        <w:tc>
          <w:tcPr/>
          <w:p>
            <w:pPr>
              <w:pStyle w:val="Compact"/>
              <w:jc w:val="left"/>
            </w:pPr>
            <w:r>
              <w:t xml:space="preserve">16%</w:t>
            </w:r>
          </w:p>
        </w:tc>
      </w:tr>
      <w:tr>
        <w:tc>
          <w:tcPr/>
          <w:p>
            <w:pPr>
              <w:pStyle w:val="Compact"/>
              <w:jc w:val="left"/>
            </w:pPr>
            <w:r>
              <w:t xml:space="preserve">4</w:t>
            </w:r>
          </w:p>
        </w:tc>
        <w:tc>
          <w:tcPr/>
          <w:p>
            <w:pPr>
              <w:pStyle w:val="Compact"/>
              <w:jc w:val="left"/>
            </w:pPr>
            <w:r>
              <w:t xml:space="preserve">Normal Saline Solution 0.9% – 1000ml IV bags (Chemist-supplied sterile fluid, Mexico City health standard)</w:t>
            </w:r>
          </w:p>
        </w:tc>
        <w:tc>
          <w:tcPr/>
          <w:p>
            <w:pPr>
              <w:pStyle w:val="Compact"/>
              <w:jc w:val="left"/>
            </w:pPr>
            <w:r>
              <w:t xml:space="preserve">QDC-NS-1000</w:t>
            </w:r>
          </w:p>
        </w:tc>
        <w:tc>
          <w:tcPr/>
          <w:p>
            <w:pPr>
              <w:pStyle w:val="Compact"/>
              <w:jc w:val="left"/>
            </w:pPr>
            <w:r>
              <w:t xml:space="preserve">500</w:t>
            </w:r>
          </w:p>
        </w:tc>
        <w:tc>
          <w:tcPr/>
          <w:p>
            <w:pPr>
              <w:pStyle w:val="Compact"/>
              <w:jc w:val="left"/>
            </w:pPr>
            <w:r>
              <w:t xml:space="preserve">$38.75</w:t>
            </w:r>
          </w:p>
        </w:tc>
        <w:tc>
          <w:tcPr/>
          <w:p>
            <w:pPr>
              <w:pStyle w:val="Compact"/>
              <w:jc w:val="left"/>
            </w:pPr>
            <w:r>
              <w:t xml:space="preserve">$19,375.00</w:t>
            </w:r>
          </w:p>
        </w:tc>
        <w:tc>
          <w:tcPr/>
          <w:p>
            <w:pPr>
              <w:pStyle w:val="Compact"/>
              <w:jc w:val="left"/>
            </w:pPr>
            <w:r>
              <w:t xml:space="preserve">16%</w:t>
            </w:r>
          </w:p>
        </w:tc>
      </w:tr>
      <w:tr>
        <w:tc>
          <w:tcPr/>
          <w:p>
            <w:pPr>
              <w:pStyle w:val="Compact"/>
              <w:jc w:val="left"/>
            </w:pPr>
            <w:r>
              <w:t xml:space="preserve">5</w:t>
            </w:r>
          </w:p>
        </w:tc>
        <w:tc>
          <w:tcPr/>
          <w:p>
            <w:pPr>
              <w:pStyle w:val="Compact"/>
              <w:jc w:val="left"/>
            </w:pPr>
            <w:r>
              <w:t xml:space="preserve">Chemist Compounding Service – Customized topical cream preparation (Hydrocortisone 1% in emollient base, 30g tubes)</w:t>
            </w:r>
          </w:p>
        </w:tc>
        <w:tc>
          <w:tcPr/>
          <w:p>
            <w:pPr>
              <w:pStyle w:val="Compact"/>
              <w:jc w:val="left"/>
            </w:pPr>
            <w:r>
              <w:t xml:space="preserve">QDC-COMP-001</w:t>
            </w:r>
          </w:p>
        </w:tc>
        <w:tc>
          <w:tcPr/>
          <w:p>
            <w:pPr>
              <w:pStyle w:val="Compact"/>
              <w:jc w:val="left"/>
            </w:pPr>
            <w:r>
              <w:t xml:space="preserve">120</w:t>
            </w:r>
          </w:p>
        </w:tc>
        <w:tc>
          <w:tcPr/>
          <w:p>
            <w:pPr>
              <w:pStyle w:val="Compact"/>
              <w:jc w:val="left"/>
            </w:pPr>
            <w:r>
              <w:t xml:space="preserve">$156.00</w:t>
            </w:r>
          </w:p>
        </w:tc>
        <w:tc>
          <w:tcPr/>
          <w:p>
            <w:pPr>
              <w:pStyle w:val="Compact"/>
              <w:jc w:val="left"/>
            </w:pPr>
            <w:r>
              <w:t xml:space="preserve">$18,720.00</w:t>
            </w:r>
          </w:p>
        </w:tc>
        <w:tc>
          <w:tcPr/>
          <w:p>
            <w:pPr>
              <w:pStyle w:val="Compact"/>
              <w:jc w:val="left"/>
            </w:pPr>
            <w:r>
              <w:t xml:space="preserve">16%</w:t>
            </w:r>
          </w:p>
        </w:tc>
      </w:tr>
      <w:tr>
        <w:tc>
          <w:tcPr/>
          <w:p>
            <w:pPr>
              <w:pStyle w:val="Compact"/>
              <w:jc w:val="left"/>
            </w:pPr>
            <w:r>
              <w:t xml:space="preserve">6</w:t>
            </w:r>
          </w:p>
        </w:tc>
        <w:tc>
          <w:tcPr/>
          <w:p>
            <w:pPr>
              <w:pStyle w:val="Compact"/>
              <w:jc w:val="left"/>
            </w:pPr>
            <w:r>
              <w:t xml:space="preserve">Chemist Consultation &amp; Medication Review Service – Monthly on-site pharmacy audit at Mexico Mexico City facility</w:t>
            </w:r>
          </w:p>
        </w:tc>
        <w:tc>
          <w:tcPr/>
          <w:p>
            <w:pPr>
              <w:pStyle w:val="Compact"/>
              <w:jc w:val="left"/>
            </w:pPr>
            <w:r>
              <w:t xml:space="preserve">QDC-SVC-AUD</w:t>
            </w:r>
          </w:p>
        </w:tc>
        <w:tc>
          <w:tcPr/>
          <w:p>
            <w:pPr>
              <w:pStyle w:val="Compact"/>
              <w:jc w:val="left"/>
            </w:pPr>
            <w:r>
              <w:t xml:space="preserve">1</w:t>
            </w:r>
          </w:p>
        </w:tc>
        <w:tc>
          <w:tcPr/>
          <w:p>
            <w:pPr>
              <w:pStyle w:val="Compact"/>
              <w:jc w:val="left"/>
            </w:pPr>
            <w:r>
              <w:t xml:space="preserve">$8,500.00</w:t>
            </w:r>
          </w:p>
        </w:tc>
        <w:tc>
          <w:tcPr/>
          <w:p>
            <w:pPr>
              <w:pStyle w:val="Compact"/>
              <w:jc w:val="left"/>
            </w:pPr>
            <w:r>
              <w:t xml:space="preserve">$8,500.00</w:t>
            </w:r>
          </w:p>
        </w:tc>
        <w:tc>
          <w:tcPr/>
          <w:p>
            <w:pPr>
              <w:pStyle w:val="Compact"/>
              <w:jc w:val="left"/>
            </w:pPr>
            <w:r>
              <w:t xml:space="preserve">16%</w:t>
            </w:r>
          </w:p>
        </w:tc>
      </w:tr>
      <w:tr>
        <w:tc>
          <w:tcPr/>
          <w:p>
            <w:pPr>
              <w:pStyle w:val="Compact"/>
              <w:jc w:val="left"/>
            </w:pPr>
            <w:r>
              <w:t xml:space="preserve">7</w:t>
            </w:r>
          </w:p>
        </w:tc>
        <w:tc>
          <w:tcPr/>
          <w:p>
            <w:pPr>
              <w:pStyle w:val="Compact"/>
              <w:jc w:val="left"/>
            </w:pPr>
            <w:r>
              <w:t xml:space="preserve">Paracetamol 500mg Tablets – 20-count strip (Chemist-stocked essential analgesic, COFEPRIS listed)</w:t>
            </w:r>
          </w:p>
        </w:tc>
        <w:tc>
          <w:tcPr/>
          <w:p>
            <w:pPr>
              <w:pStyle w:val="Compact"/>
              <w:jc w:val="left"/>
            </w:pPr>
            <w:r>
              <w:t xml:space="preserve">QDC-PCM-500</w:t>
            </w:r>
          </w:p>
        </w:tc>
        <w:tc>
          <w:tcPr/>
          <w:p>
            <w:pPr>
              <w:pStyle w:val="Compact"/>
              <w:jc w:val="left"/>
            </w:pPr>
            <w:r>
              <w:t xml:space="preserve">600</w:t>
            </w:r>
          </w:p>
        </w:tc>
        <w:tc>
          <w:tcPr/>
          <w:p>
            <w:pPr>
              <w:pStyle w:val="Compact"/>
              <w:jc w:val="left"/>
            </w:pPr>
            <w:r>
              <w:t xml:space="preserve">$28.90</w:t>
            </w:r>
          </w:p>
        </w:tc>
        <w:tc>
          <w:tcPr/>
          <w:p>
            <w:pPr>
              <w:pStyle w:val="Compact"/>
              <w:jc w:val="left"/>
            </w:pPr>
            <w:r>
              <w:t xml:space="preserve">$17,340.00</w:t>
            </w:r>
          </w:p>
        </w:tc>
        <w:tc>
          <w:tcPr/>
          <w:p>
            <w:pPr>
              <w:pStyle w:val="Compact"/>
              <w:jc w:val="left"/>
            </w:pPr>
            <w:r>
              <w:t xml:space="preserve">16%</w:t>
            </w:r>
          </w:p>
        </w:tc>
      </w:tr>
      <w:tr>
        <w:tc>
          <w:tcPr/>
          <w:p>
            <w:pPr>
              <w:pStyle w:val="Compact"/>
              <w:jc w:val="left"/>
            </w:pPr>
            <w:r>
              <w:t xml:space="preserve">8</w:t>
            </w:r>
          </w:p>
        </w:tc>
        <w:tc>
          <w:tcPr/>
          <w:p>
            <w:pPr>
              <w:pStyle w:val="Compact"/>
              <w:jc w:val="left"/>
            </w:pPr>
            <w:r>
              <w:t xml:space="preserve">Chemist Cold Chain Logistics – Refrigerated delivery of temperature-sensitive pharmaceuticals within Mexico Mexico City metro area</w:t>
            </w:r>
          </w:p>
        </w:tc>
        <w:tc>
          <w:tcPr/>
          <w:p>
            <w:pPr>
              <w:pStyle w:val="Compact"/>
              <w:jc w:val="left"/>
            </w:pPr>
            <w:r>
              <w:t xml:space="preserve">QDC-LOG-CC</w:t>
            </w:r>
          </w:p>
        </w:tc>
        <w:tc>
          <w:tcPr/>
          <w:p>
            <w:pPr>
              <w:pStyle w:val="Compact"/>
              <w:jc w:val="left"/>
            </w:pPr>
            <w:r>
              <w:t xml:space="preserve">1</w:t>
            </w:r>
          </w:p>
        </w:tc>
        <w:tc>
          <w:tcPr/>
          <w:p>
            <w:pPr>
              <w:pStyle w:val="Compact"/>
              <w:jc w:val="left"/>
            </w:pPr>
            <w:r>
              <w:t xml:space="preserve">$4,200.00</w:t>
            </w:r>
          </w:p>
        </w:tc>
        <w:tc>
          <w:tcPr/>
          <w:p>
            <w:pPr>
              <w:pStyle w:val="Compact"/>
              <w:jc w:val="left"/>
            </w:pPr>
            <w:r>
              <w:t xml:space="preserve">$4,200.00</w:t>
            </w:r>
          </w:p>
        </w:tc>
        <w:tc>
          <w:tcPr/>
          <w:p>
            <w:pPr>
              <w:pStyle w:val="Compact"/>
              <w:jc w:val="left"/>
            </w:pPr>
            <w:r>
              <w:t xml:space="preserve">16%</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(Pre-Tax)</w:t>
            </w:r>
          </w:p>
        </w:tc>
        <w:tc>
          <w:tcPr/>
          <w:p>
            <w:pPr>
              <w:pStyle w:val="Compact"/>
              <w:jc w:val="right"/>
            </w:pPr>
            <w:r>
              <w:rPr>
                <w:bCs/>
                <w:b/>
              </w:rPr>
              <w:t xml:space="preserve">$128,670.00 MXN</w:t>
            </w:r>
          </w:p>
        </w:tc>
      </w:tr>
      <w:tr>
        <w:tc>
          <w:tcPr/>
          <w:p>
            <w:pPr>
              <w:pStyle w:val="Compact"/>
              <w:jc w:val="left"/>
            </w:pPr>
            <w:r>
              <w:t xml:space="preserve">IVA (16% Value Added Tax – Mexico)</w:t>
            </w:r>
          </w:p>
        </w:tc>
        <w:tc>
          <w:tcPr/>
          <w:p>
            <w:pPr>
              <w:pStyle w:val="Compact"/>
              <w:jc w:val="right"/>
            </w:pPr>
            <w:r>
              <w:t xml:space="preserve">$20,587.20 MXN</w:t>
            </w:r>
          </w:p>
        </w:tc>
      </w:tr>
      <w:tr>
        <w:tc>
          <w:tcPr/>
          <w:p>
            <w:pPr>
              <w:pStyle w:val="Compact"/>
              <w:jc w:val="left"/>
            </w:pPr>
            <w:r>
              <w:t xml:space="preserve">Discount (Contractual 3% – Hospital Agreement)</w:t>
            </w:r>
          </w:p>
        </w:tc>
        <w:tc>
          <w:tcPr/>
          <w:p>
            <w:pPr>
              <w:pStyle w:val="Compact"/>
              <w:jc w:val="right"/>
            </w:pPr>
            <w:r>
              <w:t xml:space="preserve">-$3,860.10 MXN</w:t>
            </w:r>
          </w:p>
        </w:tc>
      </w:tr>
      <w:tr>
        <w:tc>
          <w:tcPr/>
          <w:p>
            <w:pPr>
              <w:pStyle w:val="Compact"/>
              <w:jc w:val="left"/>
            </w:pPr>
            <w:r>
              <w:t xml:space="preserve">GRAND TOTAL DUE</w:t>
            </w:r>
          </w:p>
        </w:tc>
        <w:tc>
          <w:tcPr/>
          <w:p>
            <w:pPr>
              <w:pStyle w:val="Compact"/>
              <w:jc w:val="right"/>
            </w:pPr>
            <w:r>
              <w:t xml:space="preserve">$145,397.10 MXN</w:t>
            </w:r>
          </w:p>
        </w:tc>
      </w:tr>
    </w:tbl>
    <w:bookmarkStart w:id="24" w:name="X0833161f1b2429218a1aa891809af58ec3b9544"/>
    <w:p>
      <w:pPr>
        <w:pStyle w:val="Heading3"/>
      </w:pPr>
      <w:r>
        <w:t xml:space="preserve">Important Notes &amp; Chemist Compliance Information</w:t>
      </w:r>
    </w:p>
    <w:p>
      <w:pPr>
        <w:pStyle w:val="FirstParagraph"/>
      </w:pPr>
      <w:r>
        <w:rPr>
          <w:bCs/>
          <w:b/>
        </w:rPr>
        <w:t xml:space="preserve">1.</w:t>
      </w:r>
      <w:r>
        <w:t xml:space="preserve"> </w:t>
      </w:r>
      <w:r>
        <w:t xml:space="preserve">This Invoice has been issued by Química del Centro Chemist, a fully licensed pharmaceutical dispensary operating under the jurisdiction of the Mexico Mexico City Health Secretariat (Secretaría de Salud, CDMX). All chemist products listed herein comply with COFEPRIS (Comisión Federal para la Protección contra Riesgos Sanitarios) regulations.</w:t>
      </w:r>
    </w:p>
    <w:p>
      <w:pPr>
        <w:pStyle w:val="BodyText"/>
      </w:pPr>
      <w:r>
        <w:rPr>
          <w:bCs/>
          <w:b/>
        </w:rPr>
        <w:t xml:space="preserve">2.</w:t>
      </w:r>
      <w:r>
        <w:t xml:space="preserve"> </w:t>
      </w:r>
      <w:r>
        <w:t xml:space="preserve">All pharmaceutical items dispensed by this chemist facility carry valid lot numbers, expiration dates, and batch traceability documentation. The chemist responsible for quality assurance is Lic. Farm. Roberto Salazar Mendoza, RUP No. 2019-045678, registered with the Colegio de Farmacéuticos de Mexico Mexico City.</w:t>
      </w:r>
    </w:p>
    <w:p>
      <w:pPr>
        <w:pStyle w:val="BodyText"/>
      </w:pPr>
      <w:r>
        <w:rPr>
          <w:bCs/>
          <w:b/>
        </w:rPr>
        <w:t xml:space="preserve">3.</w:t>
      </w:r>
      <w:r>
        <w:t xml:space="preserve"> </w:t>
      </w:r>
      <w:r>
        <w:t xml:space="preserve">Payment for this Invoice must be received within thirty (30) calendar days from the date of issue. Late payments will incur a monthly interest rate of 1.5% as stipulated in the commercial agreement between this chemist provider and the billing institution in Mexico Mexico City.</w:t>
      </w:r>
    </w:p>
    <w:p>
      <w:pPr>
        <w:pStyle w:val="BodyText"/>
      </w:pPr>
      <w:r>
        <w:rPr>
          <w:bCs/>
          <w:b/>
        </w:rPr>
        <w:t xml:space="preserve">4.</w:t>
      </w:r>
      <w:r>
        <w:t xml:space="preserve"> </w:t>
      </w:r>
      <w:r>
        <w:t xml:space="preserve">This Invoice is valid for a period of thirty-six (36) calendar days from the date of issue, in accordance with Mexican tax law (Código Fiscal de la Federación). After this period, a new Invoice must be generated by the chemist office.</w:t>
      </w:r>
    </w:p>
    <w:p>
      <w:pPr>
        <w:pStyle w:val="BodyText"/>
      </w:pPr>
      <w:r>
        <w:rPr>
          <w:bCs/>
          <w:b/>
        </w:rPr>
        <w:t xml:space="preserve">5.</w:t>
      </w:r>
      <w:r>
        <w:t xml:space="preserve"> </w:t>
      </w:r>
      <w:r>
        <w:t xml:space="preserve">For any discrepancies regarding this Invoice, please contact the billing department of Química del Centro Chemist at billing@quimicadelfcentro.mx or by telephone at +52 (55) 5512-3456, extension 201, located at Av. Paseo de la Reforma 245, Mexico Mexico City, C.P. 06600. Our chemist billing team is available Monday through Friday, 9:00 AM to 5:00 PM (Mexico City time, GMT-6).</w:t>
      </w:r>
    </w:p>
    <w:p>
      <w:pPr>
        <w:pStyle w:val="BodyText"/>
      </w:pPr>
      <w:r>
        <w:rPr>
          <w:bCs/>
          <w:b/>
        </w:rPr>
        <w:t xml:space="preserve">6.</w:t>
      </w:r>
      <w:r>
        <w:t xml:space="preserve"> </w:t>
      </w:r>
      <w:r>
        <w:t xml:space="preserve">This document serves as the official commercial Invoice for the supply of chemist pharmaceutical products and professional services rendered to the above-named institution. It is issued in accordance with the electronic invoicing (CFDI) standards mandated by the SAT (Servicio de Administración Tributaria) for all commercial transactions conducted within Mexico Mexico City and the broader Mexican Republic.</w:t>
      </w:r>
    </w:p>
    <w:bookmarkEnd w:id="24"/>
    <w:p>
      <w:pPr>
        <w:pStyle w:val="BodyText"/>
      </w:pPr>
      <w:r>
        <w:rPr>
          <w:bCs/>
          <w:b/>
        </w:rPr>
        <w:t xml:space="preserve">Química del Centro Chemist</w:t>
      </w:r>
      <w:r>
        <w:t xml:space="preserve"> </w:t>
      </w:r>
      <w:r>
        <w:t xml:space="preserve">– Authorized Pharmaceutical Chemist &amp; Dispensary</w:t>
      </w:r>
    </w:p>
    <w:p>
      <w:pPr>
        <w:pStyle w:val="BodyText"/>
      </w:pPr>
      <w:r>
        <w:t xml:space="preserve">Av. Paseo de la Reforma 245, Col. Juárez, Mexico Mexico City, C.P. 06600, México</w:t>
      </w:r>
    </w:p>
    <w:p>
      <w:pPr>
        <w:pStyle w:val="BodyText"/>
      </w:pPr>
      <w:r>
        <w:t xml:space="preserve">RFC: QDC180520MX7 | SAT Folio Fiscal: 18-05-20-00012345-678 | COFEPRIS License: 2019-0045678</w:t>
      </w:r>
    </w:p>
    <w:p>
      <w:pPr>
        <w:pStyle w:val="BodyText"/>
      </w:pPr>
      <w:r>
        <w:t xml:space="preserve">Registered with the Colegio de Farmacéuticos de Mexico Mexico City | Mexico City Health Secretariat Permit No. CDMX-SS-2019-00892</w:t>
      </w:r>
    </w:p>
    <w:p>
      <w:pPr>
        <w:pStyle w:val="BodyText"/>
      </w:pPr>
      <w:r>
        <w:t xml:space="preserve">This Invoice was generated electronically on June 15, 2025. Document ID: QDC-INV-2025-004872. For verification, contact the chemist billing office in Mexico Mexico City.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Chemist Mexico Mexico City</dc:title>
  <dc:creator/>
  <dc:language>en</dc:language>
  <cp:keywords/>
  <dcterms:created xsi:type="dcterms:W3CDTF">2026-10-10T04:06:41Z</dcterms:created>
  <dcterms:modified xsi:type="dcterms:W3CDTF">2026-10-10T04:06:41Z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