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Morocco</w:t>
      </w:r>
      <w:r>
        <w:t xml:space="preserve"> </w:t>
      </w:r>
      <w:r>
        <w:t xml:space="preserve">Casablanca</w:t>
      </w:r>
    </w:p>
    <w:bookmarkStart w:id="20" w:name="pharmacie-al-amal"/>
    <w:p>
      <w:pPr>
        <w:pStyle w:val="Heading1"/>
      </w:pPr>
      <w:r>
        <w:t xml:space="preserve">Pharmacie Al Amal</w:t>
      </w:r>
    </w:p>
    <w:p>
      <w:pPr>
        <w:pStyle w:val="FirstParagraph"/>
      </w:pPr>
      <w:r>
        <w:t xml:space="preserve">Registered Chemist &amp; Pharmacy</w:t>
      </w:r>
    </w:p>
    <w:p>
      <w:pPr>
        <w:pStyle w:val="BodyText"/>
      </w:pPr>
      <w:r>
        <w:t xml:space="preserve">124, Boulevard Mohammed V, Maârif District</w:t>
      </w:r>
    </w:p>
    <w:p>
      <w:pPr>
        <w:pStyle w:val="BodyText"/>
      </w:pPr>
      <w:r>
        <w:t xml:space="preserve">Casablanca, Morocco 20250</w:t>
      </w:r>
    </w:p>
    <w:p>
      <w:pPr>
        <w:pStyle w:val="BodyText"/>
      </w:pPr>
      <w:r>
        <w:t xml:space="preserve">Tel: +212 522-345-678 | Email: info@pharmaciealamal.ma</w:t>
      </w:r>
    </w:p>
    <w:p>
      <w:pPr>
        <w:pStyle w:val="BodyText"/>
      </w:pPr>
      <w:r>
        <w:t xml:space="preserve">RC: 456789 | IF: 40567890 | CNSS: 1234567</w:t>
      </w:r>
    </w:p>
    <w:p>
      <w:pPr>
        <w:pStyle w:val="BodyText"/>
      </w:pPr>
      <w:r>
        <w:t xml:space="preserve">Licensed Chemist – Morocco Casablanca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June 2025 (Cash)</w:t>
      </w:r>
    </w:p>
    <w:p>
      <w:pPr>
        <w:pStyle w:val="BodyText"/>
      </w:pPr>
      <w:r>
        <w:rPr>
          <w:bCs/>
          <w:b/>
        </w:rPr>
        <w:t xml:space="preserve">Payment Method:</w:t>
      </w:r>
      <w:r>
        <w:t xml:space="preserve"> </w:t>
      </w:r>
      <w:r>
        <w:t xml:space="preserve">Cash / Bank Transfer</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Youssef El Mansouri</w:t>
      </w:r>
    </w:p>
    <w:p>
      <w:pPr>
        <w:pStyle w:val="BodyText"/>
      </w:pPr>
      <w:r>
        <w:rPr>
          <w:bCs/>
          <w:b/>
        </w:rPr>
        <w:t xml:space="preserve">Address:</w:t>
      </w:r>
      <w:r>
        <w:t xml:space="preserve"> </w:t>
      </w:r>
      <w:r>
        <w:t xml:space="preserve">87, Rue Ibn Sina, Quartier Gauthier</w:t>
      </w:r>
    </w:p>
    <w:p>
      <w:pPr>
        <w:pStyle w:val="BodyText"/>
      </w:pPr>
      <w:r>
        <w:t xml:space="preserve">Casablanca, Morocco 20000</w:t>
      </w:r>
    </w:p>
    <w:p>
      <w:pPr>
        <w:pStyle w:val="BodyText"/>
      </w:pPr>
      <w:r>
        <w:rPr>
          <w:bCs/>
          <w:b/>
        </w:rPr>
        <w:t xml:space="preserve">Phone:</w:t>
      </w:r>
      <w:r>
        <w:t xml:space="preserve"> </w:t>
      </w:r>
      <w:r>
        <w:t xml:space="preserve">+212 661-234-567</w:t>
      </w:r>
    </w:p>
    <w:p>
      <w:pPr>
        <w:pStyle w:val="BodyText"/>
      </w:pPr>
      <w:r>
        <w:rPr>
          <w:bCs/>
          <w:b/>
        </w:rPr>
        <w:t xml:space="preserve">CIN:</w:t>
      </w:r>
      <w:r>
        <w:t xml:space="preserve"> </w:t>
      </w:r>
      <w:r>
        <w:t xml:space="preserve">BE123456</w:t>
      </w:r>
    </w:p>
    <w:bookmarkEnd w:id="22"/>
    <w:bookmarkStart w:id="23" w:name="prescribed-by"/>
    <w:p>
      <w:pPr>
        <w:pStyle w:val="Heading3"/>
      </w:pPr>
      <w:r>
        <w:t xml:space="preserve">Prescribed By</w:t>
      </w:r>
    </w:p>
    <w:p>
      <w:pPr>
        <w:pStyle w:val="FirstParagraph"/>
      </w:pPr>
      <w:r>
        <w:rPr>
          <w:bCs/>
          <w:b/>
        </w:rPr>
        <w:t xml:space="preserve">Physician:</w:t>
      </w:r>
      <w:r>
        <w:t xml:space="preserve"> </w:t>
      </w:r>
      <w:r>
        <w:t xml:space="preserve">Dr. Fatima Zahra Benali</w:t>
      </w:r>
    </w:p>
    <w:p>
      <w:pPr>
        <w:pStyle w:val="BodyText"/>
      </w:pPr>
      <w:r>
        <w:rPr>
          <w:bCs/>
          <w:b/>
        </w:rPr>
        <w:t xml:space="preserve">Specialty:</w:t>
      </w:r>
      <w:r>
        <w:t xml:space="preserve"> </w:t>
      </w:r>
      <w:r>
        <w:t xml:space="preserve">Internal Medicine</w:t>
      </w:r>
    </w:p>
    <w:p>
      <w:pPr>
        <w:pStyle w:val="BodyText"/>
      </w:pPr>
      <w:r>
        <w:rPr>
          <w:bCs/>
          <w:b/>
        </w:rPr>
        <w:t xml:space="preserve">Clinic:</w:t>
      </w:r>
      <w:r>
        <w:t xml:space="preserve"> </w:t>
      </w:r>
      <w:r>
        <w:t xml:space="preserve">Clinique Al Chifa, Casablanca</w:t>
      </w:r>
    </w:p>
    <w:p>
      <w:pPr>
        <w:pStyle w:val="BodyText"/>
      </w:pPr>
      <w:r>
        <w:rPr>
          <w:bCs/>
          <w:b/>
        </w:rPr>
        <w:t xml:space="preserve">Prescription Ref:</w:t>
      </w:r>
      <w:r>
        <w:t xml:space="preserve"> </w:t>
      </w:r>
      <w:r>
        <w:t xml:space="preserve">RX-2025-11043</w:t>
      </w:r>
    </w:p>
    <w:p>
      <w:pPr>
        <w:pStyle w:val="BodyText"/>
      </w:pPr>
      <w:r>
        <w:rPr>
          <w:bCs/>
          <w:b/>
        </w:rPr>
        <w:t xml:space="preserve">Date of Prescription:</w:t>
      </w:r>
      <w:r>
        <w:t xml:space="preserve"> </w:t>
      </w:r>
      <w:r>
        <w:t xml:space="preserve">14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Product / Service Description</w:t>
            </w:r>
          </w:p>
        </w:tc>
        <w:tc>
          <w:tcPr/>
          <w:p>
            <w:pPr>
              <w:pStyle w:val="Compact"/>
              <w:jc w:val="left"/>
            </w:pPr>
            <w:r>
              <w:t xml:space="preserve">Pharmaceutical Code</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1</w:t>
            </w:r>
          </w:p>
        </w:tc>
        <w:tc>
          <w:tcPr/>
          <w:p>
            <w:pPr>
              <w:pStyle w:val="Compact"/>
              <w:jc w:val="left"/>
            </w:pPr>
            <w:r>
              <w:t xml:space="preserve">Amoxicillin 500mg Capsules – 21 capsules (Antibiotic, prescribed by physician)</w:t>
            </w:r>
          </w:p>
        </w:tc>
        <w:tc>
          <w:tcPr/>
          <w:p>
            <w:pPr>
              <w:pStyle w:val="Compact"/>
              <w:jc w:val="left"/>
            </w:pPr>
            <w:r>
              <w:t xml:space="preserve">DCI: AMOXICILLINE</w:t>
            </w:r>
          </w:p>
        </w:tc>
        <w:tc>
          <w:tcPr/>
          <w:p>
            <w:pPr>
              <w:pStyle w:val="Compact"/>
              <w:jc w:val="left"/>
            </w:pPr>
            <w:r>
              <w:t xml:space="preserve">2 boxes</w:t>
            </w:r>
          </w:p>
        </w:tc>
        <w:tc>
          <w:tcPr/>
          <w:p>
            <w:pPr>
              <w:pStyle w:val="Compact"/>
              <w:jc w:val="left"/>
            </w:pPr>
            <w:r>
              <w:t xml:space="preserve">38.50</w:t>
            </w:r>
          </w:p>
        </w:tc>
        <w:tc>
          <w:tcPr/>
          <w:p>
            <w:pPr>
              <w:pStyle w:val="Compact"/>
              <w:jc w:val="left"/>
            </w:pPr>
            <w:r>
              <w:t xml:space="preserve">77.00</w:t>
            </w:r>
          </w:p>
        </w:tc>
      </w:tr>
      <w:tr>
        <w:tc>
          <w:tcPr/>
          <w:p>
            <w:pPr>
              <w:pStyle w:val="Compact"/>
              <w:jc w:val="left"/>
            </w:pPr>
            <w:r>
              <w:t xml:space="preserve">2</w:t>
            </w:r>
          </w:p>
        </w:tc>
        <w:tc>
          <w:tcPr/>
          <w:p>
            <w:pPr>
              <w:pStyle w:val="Compact"/>
              <w:jc w:val="left"/>
            </w:pPr>
            <w:r>
              <w:t xml:space="preserve">Paracetamol 1000mg Tablets – 16 tablets (Analgesic / Antipyretic)</w:t>
            </w:r>
          </w:p>
        </w:tc>
        <w:tc>
          <w:tcPr/>
          <w:p>
            <w:pPr>
              <w:pStyle w:val="Compact"/>
              <w:jc w:val="left"/>
            </w:pPr>
            <w:r>
              <w:t xml:space="preserve">DCI: PARACETAMOL</w:t>
            </w:r>
          </w:p>
        </w:tc>
        <w:tc>
          <w:tcPr/>
          <w:p>
            <w:pPr>
              <w:pStyle w:val="Compact"/>
              <w:jc w:val="left"/>
            </w:pPr>
            <w:r>
              <w:t xml:space="preserve">3 boxes</w:t>
            </w:r>
          </w:p>
        </w:tc>
        <w:tc>
          <w:tcPr/>
          <w:p>
            <w:pPr>
              <w:pStyle w:val="Compact"/>
              <w:jc w:val="left"/>
            </w:pPr>
            <w:r>
              <w:t xml:space="preserve">12.80</w:t>
            </w:r>
          </w:p>
        </w:tc>
        <w:tc>
          <w:tcPr/>
          <w:p>
            <w:pPr>
              <w:pStyle w:val="Compact"/>
              <w:jc w:val="left"/>
            </w:pPr>
            <w:r>
              <w:t xml:space="preserve">38.40</w:t>
            </w:r>
          </w:p>
        </w:tc>
      </w:tr>
      <w:tr>
        <w:tc>
          <w:tcPr/>
          <w:p>
            <w:pPr>
              <w:pStyle w:val="Compact"/>
              <w:jc w:val="left"/>
            </w:pPr>
            <w:r>
              <w:t xml:space="preserve">3</w:t>
            </w:r>
          </w:p>
        </w:tc>
        <w:tc>
          <w:tcPr/>
          <w:p>
            <w:pPr>
              <w:pStyle w:val="Compact"/>
              <w:jc w:val="left"/>
            </w:pPr>
            <w:r>
              <w:t xml:space="preserve">Omeprazole 20mg Gastro-resistant Capsules – 28 capsules (Gastroprotective)</w:t>
            </w:r>
          </w:p>
        </w:tc>
        <w:tc>
          <w:tcPr/>
          <w:p>
            <w:pPr>
              <w:pStyle w:val="Compact"/>
              <w:jc w:val="left"/>
            </w:pPr>
            <w:r>
              <w:t xml:space="preserve">DCI: OMEPRAZOLE</w:t>
            </w:r>
          </w:p>
        </w:tc>
        <w:tc>
          <w:tcPr/>
          <w:p>
            <w:pPr>
              <w:pStyle w:val="Compact"/>
              <w:jc w:val="left"/>
            </w:pPr>
            <w:r>
              <w:t xml:space="preserve">1 box</w:t>
            </w:r>
          </w:p>
        </w:tc>
        <w:tc>
          <w:tcPr/>
          <w:p>
            <w:pPr>
              <w:pStyle w:val="Compact"/>
              <w:jc w:val="left"/>
            </w:pPr>
            <w:r>
              <w:t xml:space="preserve">45.20</w:t>
            </w:r>
          </w:p>
        </w:tc>
        <w:tc>
          <w:tcPr/>
          <w:p>
            <w:pPr>
              <w:pStyle w:val="Compact"/>
              <w:jc w:val="left"/>
            </w:pPr>
            <w:r>
              <w:t xml:space="preserve">45.20</w:t>
            </w:r>
          </w:p>
        </w:tc>
      </w:tr>
      <w:tr>
        <w:tc>
          <w:tcPr/>
          <w:p>
            <w:pPr>
              <w:pStyle w:val="Compact"/>
              <w:jc w:val="left"/>
            </w:pPr>
            <w:r>
              <w:t xml:space="preserve">4</w:t>
            </w:r>
          </w:p>
        </w:tc>
        <w:tc>
          <w:tcPr/>
          <w:p>
            <w:pPr>
              <w:pStyle w:val="Compact"/>
              <w:jc w:val="left"/>
            </w:pPr>
            <w:r>
              <w:t xml:space="preserve">Metformin 850mg Tablets – 60 tablets (Antidiabetic, chronic treatment)</w:t>
            </w:r>
          </w:p>
        </w:tc>
        <w:tc>
          <w:tcPr/>
          <w:p>
            <w:pPr>
              <w:pStyle w:val="Compact"/>
              <w:jc w:val="left"/>
            </w:pPr>
            <w:r>
              <w:t xml:space="preserve">DCI: METFORMINE</w:t>
            </w:r>
          </w:p>
        </w:tc>
        <w:tc>
          <w:tcPr/>
          <w:p>
            <w:pPr>
              <w:pStyle w:val="Compact"/>
              <w:jc w:val="left"/>
            </w:pPr>
            <w:r>
              <w:t xml:space="preserve">2 boxes</w:t>
            </w:r>
          </w:p>
        </w:tc>
        <w:tc>
          <w:tcPr/>
          <w:p>
            <w:pPr>
              <w:pStyle w:val="Compact"/>
              <w:jc w:val="left"/>
            </w:pPr>
            <w:r>
              <w:t xml:space="preserve">52.00</w:t>
            </w:r>
          </w:p>
        </w:tc>
        <w:tc>
          <w:tcPr/>
          <w:p>
            <w:pPr>
              <w:pStyle w:val="Compact"/>
              <w:jc w:val="left"/>
            </w:pPr>
            <w:r>
              <w:t xml:space="preserve">104.00</w:t>
            </w:r>
          </w:p>
        </w:tc>
      </w:tr>
      <w:tr>
        <w:tc>
          <w:tcPr/>
          <w:p>
            <w:pPr>
              <w:pStyle w:val="Compact"/>
              <w:jc w:val="left"/>
            </w:pPr>
            <w:r>
              <w:t xml:space="preserve">5</w:t>
            </w:r>
          </w:p>
        </w:tc>
        <w:tc>
          <w:tcPr/>
          <w:p>
            <w:pPr>
              <w:pStyle w:val="Compact"/>
              <w:jc w:val="left"/>
            </w:pPr>
            <w:r>
              <w:t xml:space="preserve">Salbutamol Inhaler 100mcg – 200 doses (Bronchodilator, rescue inhaler)</w:t>
            </w:r>
          </w:p>
        </w:tc>
        <w:tc>
          <w:tcPr/>
          <w:p>
            <w:pPr>
              <w:pStyle w:val="Compact"/>
              <w:jc w:val="left"/>
            </w:pPr>
            <w:r>
              <w:t xml:space="preserve">DCI: SALBUTAMOL</w:t>
            </w:r>
          </w:p>
        </w:tc>
        <w:tc>
          <w:tcPr/>
          <w:p>
            <w:pPr>
              <w:pStyle w:val="Compact"/>
              <w:jc w:val="left"/>
            </w:pPr>
            <w:r>
              <w:t xml:space="preserve">1 unit</w:t>
            </w:r>
          </w:p>
        </w:tc>
        <w:tc>
          <w:tcPr/>
          <w:p>
            <w:pPr>
              <w:pStyle w:val="Compact"/>
              <w:jc w:val="left"/>
            </w:pPr>
            <w:r>
              <w:t xml:space="preserve">68.90</w:t>
            </w:r>
          </w:p>
        </w:tc>
        <w:tc>
          <w:tcPr/>
          <w:p>
            <w:pPr>
              <w:pStyle w:val="Compact"/>
              <w:jc w:val="left"/>
            </w:pPr>
            <w:r>
              <w:t xml:space="preserve">68.90</w:t>
            </w:r>
          </w:p>
        </w:tc>
      </w:tr>
      <w:tr>
        <w:tc>
          <w:tcPr/>
          <w:p>
            <w:pPr>
              <w:pStyle w:val="Compact"/>
              <w:jc w:val="left"/>
            </w:pPr>
            <w:r>
              <w:t xml:space="preserve">6</w:t>
            </w:r>
          </w:p>
        </w:tc>
        <w:tc>
          <w:tcPr/>
          <w:p>
            <w:pPr>
              <w:pStyle w:val="Compact"/>
              <w:jc w:val="left"/>
            </w:pPr>
            <w:r>
              <w:t xml:space="preserve">Pharmacy Consultation &amp; Medication Review Service (Chemist advisory)</w:t>
            </w:r>
          </w:p>
        </w:tc>
        <w:tc>
          <w:tcPr/>
          <w:p>
            <w:pPr>
              <w:pStyle w:val="Compact"/>
              <w:jc w:val="left"/>
            </w:pPr>
            <w:r>
              <w:t xml:space="preserve">SVC-CONSULT</w:t>
            </w:r>
          </w:p>
        </w:tc>
        <w:tc>
          <w:tcPr/>
          <w:p>
            <w:pPr>
              <w:pStyle w:val="Compact"/>
              <w:jc w:val="left"/>
            </w:pPr>
            <w:r>
              <w:t xml:space="preserve">1 session</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7</w:t>
            </w:r>
          </w:p>
        </w:tc>
        <w:tc>
          <w:tcPr/>
          <w:p>
            <w:pPr>
              <w:pStyle w:val="Compact"/>
              <w:jc w:val="left"/>
            </w:pPr>
            <w:r>
              <w:t xml:space="preserve">Medical Gloves (Nitrile, Medium) – Box of 50 (Personal protective equipment)</w:t>
            </w:r>
          </w:p>
        </w:tc>
        <w:tc>
          <w:tcPr/>
          <w:p>
            <w:pPr>
              <w:pStyle w:val="Compact"/>
              <w:jc w:val="left"/>
            </w:pPr>
            <w:r>
              <w:t xml:space="preserve">REF: MG-50-M</w:t>
            </w:r>
          </w:p>
        </w:tc>
        <w:tc>
          <w:tcPr/>
          <w:p>
            <w:pPr>
              <w:pStyle w:val="Compact"/>
              <w:jc w:val="left"/>
            </w:pPr>
            <w:r>
              <w:t xml:space="preserve">1 box</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8</w:t>
            </w:r>
          </w:p>
        </w:tc>
        <w:tc>
          <w:tcPr/>
          <w:p>
            <w:pPr>
              <w:pStyle w:val="Compact"/>
              <w:jc w:val="left"/>
            </w:pPr>
            <w:r>
              <w:t xml:space="preserve">Digital Blood Pressure Monitor – Omron M3 (Home monitoring device)</w:t>
            </w:r>
          </w:p>
        </w:tc>
        <w:tc>
          <w:tcPr/>
          <w:p>
            <w:pPr>
              <w:pStyle w:val="Compact"/>
              <w:jc w:val="left"/>
            </w:pPr>
            <w:r>
              <w:t xml:space="preserve">REF: OM-M3-2025</w:t>
            </w:r>
          </w:p>
        </w:tc>
        <w:tc>
          <w:tcPr/>
          <w:p>
            <w:pPr>
              <w:pStyle w:val="Compact"/>
              <w:jc w:val="left"/>
            </w:pPr>
            <w:r>
              <w:t xml:space="preserve">1 unit</w:t>
            </w:r>
          </w:p>
        </w:tc>
        <w:tc>
          <w:tcPr/>
          <w:p>
            <w:pPr>
              <w:pStyle w:val="Compact"/>
              <w:jc w:val="left"/>
            </w:pPr>
            <w:r>
              <w:t xml:space="preserve">485.00</w:t>
            </w:r>
          </w:p>
        </w:tc>
        <w:tc>
          <w:tcPr/>
          <w:p>
            <w:pPr>
              <w:pStyle w:val="Compact"/>
              <w:jc w:val="left"/>
            </w:pPr>
            <w:r>
              <w:t xml:space="preserve">485.00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903.50 MAD</w:t>
            </w:r>
          </w:p>
        </w:tc>
      </w:tr>
      <w:tr>
        <w:tc>
          <w:tcPr/>
          <w:p>
            <w:pPr>
              <w:pStyle w:val="Compact"/>
              <w:jc w:val="left"/>
            </w:pPr>
            <w:r>
              <w:t xml:space="preserve">VAT (20% – Applicable per Moroccan Tax Code)</w:t>
            </w:r>
          </w:p>
        </w:tc>
        <w:tc>
          <w:tcPr/>
          <w:p>
            <w:pPr>
              <w:pStyle w:val="Compact"/>
              <w:jc w:val="right"/>
            </w:pPr>
            <w:r>
              <w:t xml:space="preserve">180.70 MAD</w:t>
            </w:r>
          </w:p>
        </w:tc>
      </w:tr>
      <w:tr>
        <w:tc>
          <w:tcPr/>
          <w:p>
            <w:pPr>
              <w:pStyle w:val="Compact"/>
              <w:jc w:val="left"/>
            </w:pPr>
            <w:r>
              <w:t xml:space="preserve">Pharmacy Dispensing Fee (Regulated by Moroccan Ministry of Health)</w:t>
            </w:r>
          </w:p>
        </w:tc>
        <w:tc>
          <w:tcPr/>
          <w:p>
            <w:pPr>
              <w:pStyle w:val="Compact"/>
              <w:jc w:val="right"/>
            </w:pPr>
            <w:r>
              <w:t xml:space="preserve">15.00 MAD</w:t>
            </w:r>
          </w:p>
        </w:tc>
      </w:tr>
      <w:tr>
        <w:tc>
          <w:tcPr/>
          <w:p>
            <w:pPr>
              <w:pStyle w:val="Compact"/>
              <w:jc w:val="left"/>
            </w:pPr>
            <w:r>
              <w:t xml:space="preserve">Delivery within Casablanca (Chemist home delivery service)</w:t>
            </w:r>
          </w:p>
        </w:tc>
        <w:tc>
          <w:tcPr/>
          <w:p>
            <w:pPr>
              <w:pStyle w:val="Compact"/>
              <w:jc w:val="right"/>
            </w:pPr>
            <w:r>
              <w:t xml:space="preserve">25.00 MAD</w:t>
            </w:r>
          </w:p>
        </w:tc>
      </w:tr>
      <w:tr>
        <w:tc>
          <w:tcPr/>
          <w:p>
            <w:pPr>
              <w:pStyle w:val="Compact"/>
              <w:jc w:val="left"/>
            </w:pPr>
            <w:r>
              <w:t xml:space="preserve">GRAND TOTAL (MAD)</w:t>
            </w:r>
          </w:p>
        </w:tc>
        <w:tc>
          <w:tcPr/>
          <w:p>
            <w:pPr>
              <w:pStyle w:val="Compact"/>
              <w:jc w:val="right"/>
            </w:pPr>
            <w:r>
              <w:t xml:space="preserve">1,124.20 MAD</w:t>
            </w:r>
          </w:p>
        </w:tc>
      </w:tr>
    </w:tbl>
    <w:bookmarkStart w:id="24" w:name="X0b5d43bed94fd91c1515ba7b0e294e8b44189dd"/>
    <w:p>
      <w:pPr>
        <w:pStyle w:val="Heading3"/>
      </w:pPr>
      <w:r>
        <w:t xml:space="preserve">Notes Regarding This Invoice from the Chemist</w:t>
      </w:r>
    </w:p>
    <w:p>
      <w:pPr>
        <w:numPr>
          <w:ilvl w:val="0"/>
          <w:numId w:val="1001"/>
        </w:numPr>
        <w:pStyle w:val="Compact"/>
      </w:pPr>
      <w:r>
        <w:t xml:space="preserve">This Invoice has been issued by a licensed Chemist operating in Morocco Casablanca in full compliance with the Moroccan Public Health Code (Code de la Santé Publique) and the regulations governing pharmacy practice in the Kingdom of Morocco.</w:t>
      </w:r>
    </w:p>
    <w:p>
      <w:pPr>
        <w:numPr>
          <w:ilvl w:val="0"/>
          <w:numId w:val="1001"/>
        </w:numPr>
        <w:pStyle w:val="Compact"/>
      </w:pPr>
      <w:r>
        <w:t xml:space="preserve">All pharmaceutical products listed on this Invoice have been dispensed by a qualified Chemist after verification of the valid medical prescription issued by Dr. Fatima Zahra Benali. The Chemist has confirmed dosage, potential drug interactions, and proper storage instructions with the client.</w:t>
      </w:r>
    </w:p>
    <w:p>
      <w:pPr>
        <w:numPr>
          <w:ilvl w:val="0"/>
          <w:numId w:val="1001"/>
        </w:numPr>
        <w:pStyle w:val="Compact"/>
      </w:pPr>
      <w:r>
        <w:t xml:space="preserve">Items 1, 2, 3, 4, and 5 are prescription medications. The Chemist in Morocco Casablanca is legally required to retain a copy of the prescription for a minimum of five (5) years as mandated by the Moroccan Ministry of Health.</w:t>
      </w:r>
    </w:p>
    <w:p>
      <w:pPr>
        <w:numPr>
          <w:ilvl w:val="0"/>
          <w:numId w:val="1001"/>
        </w:numPr>
        <w:pStyle w:val="Compact"/>
      </w:pPr>
      <w:r>
        <w:t xml:space="preserve">The Metformin 850mg (Item 4) is a chronic treatment medication. The client is advised to return to this Chemist in Morocco Casablanca for refills every 30 days with a renewed prescription from their attending physician.</w:t>
      </w:r>
    </w:p>
    <w:p>
      <w:pPr>
        <w:numPr>
          <w:ilvl w:val="0"/>
          <w:numId w:val="1001"/>
        </w:numPr>
        <w:pStyle w:val="Compact"/>
      </w:pPr>
      <w:r>
        <w:t xml:space="preserve">The Salbutamol Inhaler (Item 5) is a rescue medication. The Chemist has provided verbal and written instructions on proper inhaler technique. The client should schedule a follow-up with their physician if usage exceeds 3 times per week.</w:t>
      </w:r>
    </w:p>
    <w:p>
      <w:pPr>
        <w:numPr>
          <w:ilvl w:val="0"/>
          <w:numId w:val="1001"/>
        </w:numPr>
        <w:pStyle w:val="Compact"/>
      </w:pPr>
      <w:r>
        <w:t xml:space="preserve">This Invoice serves as the official fiscal document for the transaction. The client may present this Invoice to their health insurance provider (CNSS, CNOPS, or private insurer) for reimbursement of eligible items as per their coverage plan in Morocco Casablanca.</w:t>
      </w:r>
    </w:p>
    <w:p>
      <w:pPr>
        <w:numPr>
          <w:ilvl w:val="0"/>
          <w:numId w:val="1001"/>
        </w:numPr>
        <w:pStyle w:val="Compact"/>
      </w:pPr>
      <w:r>
        <w:t xml:space="preserve">The Chemist guarantees that all products dispensed are sourced from authorized pharmaceutical distributors registered with the Moroccan Agency of Medicines and Health Products (AMM) and are within their expiration dates.</w:t>
      </w:r>
    </w:p>
    <w:bookmarkEnd w:id="24"/>
    <w:bookmarkStart w:id="25" w:name="terms-and-conditions-of-this-invoice"/>
    <w:p>
      <w:pPr>
        <w:pStyle w:val="Heading3"/>
      </w:pPr>
      <w:r>
        <w:t xml:space="preserve">Terms and Conditions of This Invoice</w:t>
      </w:r>
    </w:p>
    <w:p>
      <w:pPr>
        <w:pStyle w:val="FirstParagraph"/>
      </w:pPr>
      <w:r>
        <w:rPr>
          <w:bCs/>
          <w:b/>
        </w:rPr>
        <w:t xml:space="preserve">1. Payment:</w:t>
      </w:r>
      <w:r>
        <w:t xml:space="preserve"> </w:t>
      </w:r>
      <w:r>
        <w:t xml:space="preserve">This Invoice is payable in full on the date of issue. Payment may be made in cash, by bank transfer to the Chemist's registered account, or via approved electronic payment methods available in Morocco Casablanca. No credit is extended beyond the terms stated on this Invoice.</w:t>
      </w:r>
    </w:p>
    <w:p>
      <w:pPr>
        <w:pStyle w:val="BodyText"/>
      </w:pPr>
      <w:r>
        <w:rPr>
          <w:bCs/>
          <w:b/>
        </w:rPr>
        <w:t xml:space="preserve">2. Returns and Exchanges:</w:t>
      </w:r>
      <w:r>
        <w:t xml:space="preserve"> </w:t>
      </w:r>
      <w:r>
        <w:t xml:space="preserve">Prescription medications dispensed by the Chemist are non-returnable unless a manufacturing defect is identified. Non-prescription items may be returned within 14 days of purchase with this Invoice and in unopened condition.</w:t>
      </w:r>
    </w:p>
    <w:p>
      <w:pPr>
        <w:pStyle w:val="BodyText"/>
      </w:pPr>
      <w:r>
        <w:rPr>
          <w:bCs/>
          <w:b/>
        </w:rPr>
        <w:t xml:space="preserve">3. Validity:</w:t>
      </w:r>
      <w:r>
        <w:t xml:space="preserve"> </w:t>
      </w:r>
      <w:r>
        <w:t xml:space="preserve">This Invoice is valid for a period of one (1) year from the date of issue for insurance reimbursement purposes in Morocco Casablanca. After this period, the Chemist's records may be archived per Moroccan fiscal regulations.</w:t>
      </w:r>
    </w:p>
    <w:p>
      <w:pPr>
        <w:pStyle w:val="BodyText"/>
      </w:pPr>
      <w:r>
        <w:rPr>
          <w:bCs/>
          <w:b/>
        </w:rPr>
        <w:t xml:space="preserve">4. Regulatory Compliance:</w:t>
      </w:r>
      <w:r>
        <w:t xml:space="preserve"> </w:t>
      </w:r>
      <w:r>
        <w:t xml:space="preserve">The Chemist issuing this Invoice operates under the supervision of the Moroccan Ministry of Health and the Regional Directorate of Health for Casablanca-Settat. All dispensing activities comply with the applicable Moroccan pharmaceutical regulations and the Code de la Santé Publique.</w:t>
      </w:r>
    </w:p>
    <w:p>
      <w:pPr>
        <w:pStyle w:val="BodyText"/>
      </w:pPr>
      <w:r>
        <w:rPr>
          <w:bCs/>
          <w:b/>
        </w:rPr>
        <w:t xml:space="preserve">5. Data Protection:</w:t>
      </w:r>
      <w:r>
        <w:t xml:space="preserve"> </w:t>
      </w:r>
      <w:r>
        <w:t xml:space="preserve">Client information contained in this Invoice is processed in accordance with Moroccan Law 09-08 on the Protection of Personal Data. The Chemist in Morocco Casablanca ensures confidentiality of all medical and transactional data.</w:t>
      </w:r>
    </w:p>
    <w:p>
      <w:pPr>
        <w:pStyle w:val="BodyText"/>
      </w:pPr>
      <w:r>
        <w:rPr>
          <w:bCs/>
          <w:b/>
        </w:rPr>
        <w:t xml:space="preserve">6. Disputes:</w:t>
      </w:r>
      <w:r>
        <w:t xml:space="preserve"> </w:t>
      </w:r>
      <w:r>
        <w:t xml:space="preserve">Any dispute arising from this Invoice shall be resolved through the competent courts of Casablanca, Morocco, or through the mediation services of the local pharmacy order (Ordre des Pharmaciens du Maroc).</w:t>
      </w:r>
    </w:p>
    <w:bookmarkEnd w:id="25"/>
    <w:p>
      <w:pPr>
        <w:pStyle w:val="BodyText"/>
      </w:pPr>
      <w:r>
        <w:rPr>
          <w:bCs/>
          <w:b/>
        </w:rPr>
        <w:t xml:space="preserve">Pharmacie Al Amal</w:t>
      </w:r>
      <w:r>
        <w:t xml:space="preserve"> </w:t>
      </w:r>
      <w:r>
        <w:t xml:space="preserve">– Licensed Chemist &amp; Pharmacy | Morocco Casablanca</w:t>
      </w:r>
    </w:p>
    <w:p>
      <w:pPr>
        <w:pStyle w:val="BodyText"/>
      </w:pPr>
      <w:r>
        <w:t xml:space="preserve">124, Boulevard Mohammed V, Maârif, Casablanca 20250, Morocco</w:t>
      </w:r>
    </w:p>
    <w:p>
      <w:pPr>
        <w:pStyle w:val="BodyText"/>
      </w:pPr>
      <w:r>
        <w:t xml:space="preserve">Tel: +212 522-345-678 | Email: info@pharmaciealamal.ma | Website: www.pharmaciealamal.ma</w:t>
      </w:r>
    </w:p>
    <w:p>
      <w:pPr>
        <w:pStyle w:val="BodyText"/>
      </w:pPr>
      <w:r>
        <w:t xml:space="preserve">Member of the Ordre des Pharmaciens du Maroc | Licensed by the Regional Directorate of Health, Casablanca-Settat</w:t>
      </w:r>
    </w:p>
    <w:p>
      <w:pPr>
        <w:pStyle w:val="BodyText"/>
      </w:pPr>
      <w:r>
        <w:t xml:space="preserve">This Invoice was generated electronically by the Chemist's pharmacy management system. No physical signature is required. Document Reference: INV-2025-04872 | Generated: 15/06/2025 14:32 CST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Morocco Casablanca</dc:title>
  <dc:creator/>
  <dc:language>en</dc:language>
  <cp:keywords/>
  <dcterms:created xsi:type="dcterms:W3CDTF">2026-10-10T03:38:17Z</dcterms:created>
  <dcterms:modified xsi:type="dcterms:W3CDTF">2026-10-10T03:38:17Z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