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Farmacia</w:t>
      </w:r>
      <w:r>
        <w:t xml:space="preserve"> </w:t>
      </w:r>
      <w:r>
        <w:t xml:space="preserve">Quimica</w:t>
      </w:r>
      <w:r>
        <w:t xml:space="preserve"> </w:t>
      </w:r>
      <w:r>
        <w:t xml:space="preserve">del</w:t>
      </w:r>
      <w:r>
        <w:t xml:space="preserve"> </w:t>
      </w:r>
      <w:r>
        <w:t xml:space="preserve">Pacífico</w:t>
      </w:r>
      <w:r>
        <w:t xml:space="preserve"> </w:t>
      </w:r>
      <w:r>
        <w:t xml:space="preserve">-</w:t>
      </w:r>
      <w:r>
        <w:t xml:space="preserve"> </w:t>
      </w:r>
      <w:r>
        <w:t xml:space="preserve">Lima,</w:t>
      </w:r>
      <w:r>
        <w:t xml:space="preserve"> </w:t>
      </w:r>
      <w:r>
        <w:t xml:space="preserve">Peru</w:t>
      </w:r>
    </w:p>
    <w:bookmarkStart w:id="20" w:name="farmacia-quimica-del-pacífico"/>
    <w:p>
      <w:pPr>
        <w:pStyle w:val="Heading1"/>
      </w:pPr>
      <w:r>
        <w:t xml:space="preserve">Farmacia Quimica del Pacífico</w:t>
      </w:r>
    </w:p>
    <w:p>
      <w:pPr>
        <w:pStyle w:val="FirstParagraph"/>
      </w:pPr>
      <w:r>
        <w:rPr>
          <w:bCs/>
          <w:b/>
        </w:rPr>
        <w:t xml:space="preserve">Chemist &amp; Pharmacy Services</w:t>
      </w:r>
    </w:p>
    <w:p>
      <w:pPr>
        <w:pStyle w:val="BodyText"/>
      </w:pPr>
      <w:r>
        <w:t xml:space="preserve">Av. Javier Prado Este 1245, San Isidro</w:t>
      </w:r>
    </w:p>
    <w:p>
      <w:pPr>
        <w:pStyle w:val="BodyText"/>
      </w:pPr>
      <w:r>
        <w:t xml:space="preserve">Lima, Peru – CEP 15081</w:t>
      </w:r>
    </w:p>
    <w:p>
      <w:pPr>
        <w:pStyle w:val="BodyText"/>
      </w:pPr>
      <w:r>
        <w:t xml:space="preserve">Tel: +51 (01) 445-6789 | RUC: 20512345678</w:t>
      </w:r>
    </w:p>
    <w:p>
      <w:pPr>
        <w:pStyle w:val="BodyText"/>
      </w:pPr>
      <w:r>
        <w:t xml:space="preserve">email: ventas@farmaciapacifico.pe</w:t>
      </w:r>
    </w:p>
    <w:p>
      <w:pPr>
        <w:pStyle w:val="BodyText"/>
      </w:pPr>
      <w:r>
        <w:t xml:space="preserve">Registro Sanitario: DIGEMID N° 004567-2024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FV-2025-00847</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Payment Terms:</w:t>
      </w:r>
      <w:r>
        <w:t xml:space="preserve"> </w:t>
      </w:r>
      <w:r>
        <w:t xml:space="preserve">Net 15 Days</w:t>
      </w:r>
    </w:p>
    <w:p>
      <w:pPr>
        <w:pStyle w:val="BodyText"/>
      </w:pPr>
      <w:r>
        <w:rPr>
          <w:bCs/>
          <w:b/>
        </w:rPr>
        <w:t xml:space="preserve">Country of Origin:</w:t>
      </w:r>
      <w:r>
        <w:t xml:space="preserve"> </w:t>
      </w:r>
      <w:r>
        <w:t xml:space="preserve">Peru – Lima</w:t>
      </w:r>
    </w:p>
    <w:bookmarkEnd w:id="21"/>
    <w:bookmarkStart w:id="22" w:name="billed-to-client"/>
    <w:p>
      <w:pPr>
        <w:pStyle w:val="Heading3"/>
      </w:pPr>
      <w:r>
        <w:t xml:space="preserve">Billed To (Client)</w:t>
      </w:r>
    </w:p>
    <w:p>
      <w:pPr>
        <w:pStyle w:val="FirstParagraph"/>
      </w:pPr>
      <w:r>
        <w:rPr>
          <w:bCs/>
          <w:b/>
        </w:rPr>
        <w:t xml:space="preserve">Empresa Médica Andina S.A.C.</w:t>
      </w:r>
    </w:p>
    <w:p>
      <w:pPr>
        <w:pStyle w:val="BodyText"/>
      </w:pPr>
      <w:r>
        <w:t xml:space="preserve">RUC: 20498765432</w:t>
      </w:r>
    </w:p>
    <w:p>
      <w:pPr>
        <w:pStyle w:val="BodyText"/>
      </w:pPr>
      <w:r>
        <w:t xml:space="preserve">Calle Los Álamos 890, Of. 402</w:t>
      </w:r>
    </w:p>
    <w:p>
      <w:pPr>
        <w:pStyle w:val="BodyText"/>
      </w:pPr>
      <w:r>
        <w:t xml:space="preserve">Miraflores, Lima, Peru – CEP 15073</w:t>
      </w:r>
    </w:p>
    <w:p>
      <w:pPr>
        <w:pStyle w:val="BodyText"/>
      </w:pPr>
      <w:r>
        <w:t xml:space="preserve">Contact: Dra. María Fernández</w:t>
      </w:r>
    </w:p>
    <w:p>
      <w:pPr>
        <w:pStyle w:val="BodyText"/>
      </w:pPr>
      <w:r>
        <w:t xml:space="preserve">Phone: +51 (01) 448-2211</w:t>
      </w:r>
    </w:p>
    <w:bookmarkEnd w:id="22"/>
    <w:bookmarkStart w:id="23" w:name="chemist-pharmacy-details"/>
    <w:p>
      <w:pPr>
        <w:pStyle w:val="Heading3"/>
      </w:pPr>
      <w:r>
        <w:t xml:space="preserve">Chemist / Pharmacy Details</w:t>
      </w:r>
    </w:p>
    <w:p>
      <w:pPr>
        <w:pStyle w:val="FirstParagraph"/>
      </w:pPr>
      <w:r>
        <w:rPr>
          <w:bCs/>
          <w:b/>
        </w:rPr>
        <w:t xml:space="preserve">Farmacia Quimica del Pacífico</w:t>
      </w:r>
    </w:p>
    <w:p>
      <w:pPr>
        <w:pStyle w:val="BodyText"/>
      </w:pPr>
      <w:r>
        <w:t xml:space="preserve">Pharmacist in Charge: Lic. Carlos Mendoza, RUP 12345</w:t>
      </w:r>
    </w:p>
    <w:p>
      <w:pPr>
        <w:pStyle w:val="BodyText"/>
      </w:pPr>
      <w:r>
        <w:t xml:space="preserve">License No.: 009876-2024 (Municipalidad de San Isidro)</w:t>
      </w:r>
    </w:p>
    <w:p>
      <w:pPr>
        <w:pStyle w:val="BodyText"/>
      </w:pPr>
      <w:r>
        <w:t xml:space="preserve">Operating Area: Lima Metropolitan Region, Peru</w:t>
      </w:r>
    </w:p>
    <w:p>
      <w:pPr>
        <w:pStyle w:val="BodyText"/>
      </w:pPr>
      <w:r>
        <w:t xml:space="preserve">Hours: Mon–Sat 08:00–21:00 | Sun 09:00–14:00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Amoxicillin 500mg Capsules (21 caps) – Antibiotic, Rx required</w:t>
            </w:r>
          </w:p>
        </w:tc>
        <w:tc>
          <w:tcPr/>
          <w:p>
            <w:pPr>
              <w:pStyle w:val="Compact"/>
              <w:jc w:val="left"/>
            </w:pPr>
            <w:r>
              <w:t xml:space="preserve">AMX-500-21</w:t>
            </w:r>
          </w:p>
        </w:tc>
        <w:tc>
          <w:tcPr/>
          <w:p>
            <w:pPr>
              <w:pStyle w:val="Compact"/>
              <w:jc w:val="left"/>
            </w:pPr>
            <w:r>
              <w:t xml:space="preserve">25</w:t>
            </w:r>
          </w:p>
        </w:tc>
        <w:tc>
          <w:tcPr/>
          <w:p>
            <w:pPr>
              <w:pStyle w:val="Compact"/>
              <w:jc w:val="left"/>
            </w:pPr>
            <w:r>
              <w:t xml:space="preserve">18.50</w:t>
            </w:r>
          </w:p>
        </w:tc>
        <w:tc>
          <w:tcPr/>
          <w:p>
            <w:pPr>
              <w:pStyle w:val="Compact"/>
              <w:jc w:val="left"/>
            </w:pPr>
            <w:r>
              <w:t xml:space="preserve">462.50</w:t>
            </w:r>
          </w:p>
        </w:tc>
      </w:tr>
      <w:tr>
        <w:tc>
          <w:tcPr/>
          <w:p>
            <w:pPr>
              <w:pStyle w:val="Compact"/>
              <w:jc w:val="left"/>
            </w:pPr>
            <w:r>
              <w:t xml:space="preserve">02</w:t>
            </w:r>
          </w:p>
        </w:tc>
        <w:tc>
          <w:tcPr/>
          <w:p>
            <w:pPr>
              <w:pStyle w:val="Compact"/>
              <w:jc w:val="left"/>
            </w:pPr>
            <w:r>
              <w:t xml:space="preserve">Ibuprofen 400mg Tablets (30 tabs) – Analgesic/Anti-inflammatory</w:t>
            </w:r>
          </w:p>
        </w:tc>
        <w:tc>
          <w:tcPr/>
          <w:p>
            <w:pPr>
              <w:pStyle w:val="Compact"/>
              <w:jc w:val="left"/>
            </w:pPr>
            <w:r>
              <w:t xml:space="preserve">IBU-400-30</w:t>
            </w:r>
          </w:p>
        </w:tc>
        <w:tc>
          <w:tcPr/>
          <w:p>
            <w:pPr>
              <w:pStyle w:val="Compact"/>
              <w:jc w:val="left"/>
            </w:pPr>
            <w:r>
              <w:t xml:space="preserve">40</w:t>
            </w:r>
          </w:p>
        </w:tc>
        <w:tc>
          <w:tcPr/>
          <w:p>
            <w:pPr>
              <w:pStyle w:val="Compact"/>
              <w:jc w:val="left"/>
            </w:pPr>
            <w:r>
              <w:t xml:space="preserve">12.80</w:t>
            </w:r>
          </w:p>
        </w:tc>
        <w:tc>
          <w:tcPr/>
          <w:p>
            <w:pPr>
              <w:pStyle w:val="Compact"/>
              <w:jc w:val="left"/>
            </w:pPr>
            <w:r>
              <w:t xml:space="preserve">512.00</w:t>
            </w:r>
          </w:p>
        </w:tc>
      </w:tr>
      <w:tr>
        <w:tc>
          <w:tcPr/>
          <w:p>
            <w:pPr>
              <w:pStyle w:val="Compact"/>
              <w:jc w:val="left"/>
            </w:pPr>
            <w:r>
              <w:t xml:space="preserve">03</w:t>
            </w:r>
          </w:p>
        </w:tc>
        <w:tc>
          <w:tcPr/>
          <w:p>
            <w:pPr>
              <w:pStyle w:val="Compact"/>
              <w:jc w:val="left"/>
            </w:pPr>
            <w:r>
              <w:t xml:space="preserve">Omeprazole 20mg Capsules (28 caps) – Gastroprotective</w:t>
            </w:r>
          </w:p>
        </w:tc>
        <w:tc>
          <w:tcPr/>
          <w:p>
            <w:pPr>
              <w:pStyle w:val="Compact"/>
              <w:jc w:val="left"/>
            </w:pPr>
            <w:r>
              <w:t xml:space="preserve">OMP-20-28</w:t>
            </w:r>
          </w:p>
        </w:tc>
        <w:tc>
          <w:tcPr/>
          <w:p>
            <w:pPr>
              <w:pStyle w:val="Compact"/>
              <w:jc w:val="left"/>
            </w:pPr>
            <w:r>
              <w:t xml:space="preserve">30</w:t>
            </w:r>
          </w:p>
        </w:tc>
        <w:tc>
          <w:tcPr/>
          <w:p>
            <w:pPr>
              <w:pStyle w:val="Compact"/>
              <w:jc w:val="left"/>
            </w:pPr>
            <w:r>
              <w:t xml:space="preserve">24.90</w:t>
            </w:r>
          </w:p>
        </w:tc>
        <w:tc>
          <w:tcPr/>
          <w:p>
            <w:pPr>
              <w:pStyle w:val="Compact"/>
              <w:jc w:val="left"/>
            </w:pPr>
            <w:r>
              <w:t xml:space="preserve">747.00</w:t>
            </w:r>
          </w:p>
        </w:tc>
      </w:tr>
      <w:tr>
        <w:tc>
          <w:tcPr/>
          <w:p>
            <w:pPr>
              <w:pStyle w:val="Compact"/>
              <w:jc w:val="left"/>
            </w:pPr>
            <w:r>
              <w:t xml:space="preserve">04</w:t>
            </w:r>
          </w:p>
        </w:tc>
        <w:tc>
          <w:tcPr/>
          <w:p>
            <w:pPr>
              <w:pStyle w:val="Compact"/>
              <w:jc w:val="left"/>
            </w:pPr>
            <w:r>
              <w:t xml:space="preserve">Metformin 850mg Tablets (60 tabs) – Antidiabetic</w:t>
            </w:r>
          </w:p>
        </w:tc>
        <w:tc>
          <w:tcPr/>
          <w:p>
            <w:pPr>
              <w:pStyle w:val="Compact"/>
              <w:jc w:val="left"/>
            </w:pPr>
            <w:r>
              <w:t xml:space="preserve">MTF-850-60</w:t>
            </w:r>
          </w:p>
        </w:tc>
        <w:tc>
          <w:tcPr/>
          <w:p>
            <w:pPr>
              <w:pStyle w:val="Compact"/>
              <w:jc w:val="left"/>
            </w:pPr>
            <w:r>
              <w:t xml:space="preserve">20</w:t>
            </w:r>
          </w:p>
        </w:tc>
        <w:tc>
          <w:tcPr/>
          <w:p>
            <w:pPr>
              <w:pStyle w:val="Compact"/>
              <w:jc w:val="left"/>
            </w:pPr>
            <w:r>
              <w:t xml:space="preserve">32.40</w:t>
            </w:r>
          </w:p>
        </w:tc>
        <w:tc>
          <w:tcPr/>
          <w:p>
            <w:pPr>
              <w:pStyle w:val="Compact"/>
              <w:jc w:val="left"/>
            </w:pPr>
            <w:r>
              <w:t xml:space="preserve">648.00</w:t>
            </w:r>
          </w:p>
        </w:tc>
      </w:tr>
      <w:tr>
        <w:tc>
          <w:tcPr/>
          <w:p>
            <w:pPr>
              <w:pStyle w:val="Compact"/>
              <w:jc w:val="left"/>
            </w:pPr>
            <w:r>
              <w:t xml:space="preserve">05</w:t>
            </w:r>
          </w:p>
        </w:tc>
        <w:tc>
          <w:tcPr/>
          <w:p>
            <w:pPr>
              <w:pStyle w:val="Compact"/>
              <w:jc w:val="left"/>
            </w:pPr>
            <w:r>
              <w:t xml:space="preserve">Saline Solution 0.9% 500ml IV Bags (10-pack) – Hospital grade</w:t>
            </w:r>
          </w:p>
        </w:tc>
        <w:tc>
          <w:tcPr/>
          <w:p>
            <w:pPr>
              <w:pStyle w:val="Compact"/>
              <w:jc w:val="left"/>
            </w:pPr>
            <w:r>
              <w:t xml:space="preserve">SAL-500-10</w:t>
            </w:r>
          </w:p>
        </w:tc>
        <w:tc>
          <w:tcPr/>
          <w:p>
            <w:pPr>
              <w:pStyle w:val="Compact"/>
              <w:jc w:val="left"/>
            </w:pPr>
            <w:r>
              <w:t xml:space="preserve">15</w:t>
            </w:r>
          </w:p>
        </w:tc>
        <w:tc>
          <w:tcPr/>
          <w:p>
            <w:pPr>
              <w:pStyle w:val="Compact"/>
              <w:jc w:val="left"/>
            </w:pPr>
            <w:r>
              <w:t xml:space="preserve">45.00</w:t>
            </w:r>
          </w:p>
        </w:tc>
        <w:tc>
          <w:tcPr/>
          <w:p>
            <w:pPr>
              <w:pStyle w:val="Compact"/>
              <w:jc w:val="left"/>
            </w:pPr>
            <w:r>
              <w:t xml:space="preserve">675.00</w:t>
            </w:r>
          </w:p>
        </w:tc>
      </w:tr>
      <w:tr>
        <w:tc>
          <w:tcPr/>
          <w:p>
            <w:pPr>
              <w:pStyle w:val="Compact"/>
              <w:jc w:val="left"/>
            </w:pPr>
            <w:r>
              <w:t xml:space="preserve">06</w:t>
            </w:r>
          </w:p>
        </w:tc>
        <w:tc>
          <w:tcPr/>
          <w:p>
            <w:pPr>
              <w:pStyle w:val="Compact"/>
              <w:jc w:val="left"/>
            </w:pPr>
            <w:r>
              <w:t xml:space="preserve">Nitrile Examination Gloves, Medium (Box of 100) – Latex-free</w:t>
            </w:r>
          </w:p>
        </w:tc>
        <w:tc>
          <w:tcPr/>
          <w:p>
            <w:pPr>
              <w:pStyle w:val="Compact"/>
              <w:jc w:val="left"/>
            </w:pPr>
            <w:r>
              <w:t xml:space="preserve">GLV-NIT-M-100</w:t>
            </w:r>
          </w:p>
        </w:tc>
        <w:tc>
          <w:tcPr/>
          <w:p>
            <w:pPr>
              <w:pStyle w:val="Compact"/>
              <w:jc w:val="left"/>
            </w:pPr>
            <w:r>
              <w:t xml:space="preserve">50</w:t>
            </w:r>
          </w:p>
        </w:tc>
        <w:tc>
          <w:tcPr/>
          <w:p>
            <w:pPr>
              <w:pStyle w:val="Compact"/>
              <w:jc w:val="left"/>
            </w:pPr>
            <w:r>
              <w:t xml:space="preserve">14.20</w:t>
            </w:r>
          </w:p>
        </w:tc>
        <w:tc>
          <w:tcPr/>
          <w:p>
            <w:pPr>
              <w:pStyle w:val="Compact"/>
              <w:jc w:val="left"/>
            </w:pPr>
            <w:r>
              <w:t xml:space="preserve">710.00</w:t>
            </w:r>
          </w:p>
        </w:tc>
      </w:tr>
      <w:tr>
        <w:tc>
          <w:tcPr/>
          <w:p>
            <w:pPr>
              <w:pStyle w:val="Compact"/>
              <w:jc w:val="left"/>
            </w:pPr>
            <w:r>
              <w:t xml:space="preserve">07</w:t>
            </w:r>
          </w:p>
        </w:tc>
        <w:tc>
          <w:tcPr/>
          <w:p>
            <w:pPr>
              <w:pStyle w:val="Compact"/>
              <w:jc w:val="left"/>
            </w:pPr>
            <w:r>
              <w:t xml:space="preserve">Digital Thermometer (Infrared Forehead) – Medical grade</w:t>
            </w:r>
          </w:p>
        </w:tc>
        <w:tc>
          <w:tcPr/>
          <w:p>
            <w:pPr>
              <w:pStyle w:val="Compact"/>
              <w:jc w:val="left"/>
            </w:pPr>
            <w:r>
              <w:t xml:space="preserve">THM-IR-001</w:t>
            </w:r>
          </w:p>
        </w:tc>
        <w:tc>
          <w:tcPr/>
          <w:p>
            <w:pPr>
              <w:pStyle w:val="Compact"/>
              <w:jc w:val="left"/>
            </w:pPr>
            <w:r>
              <w:t xml:space="preserve">10</w:t>
            </w:r>
          </w:p>
        </w:tc>
        <w:tc>
          <w:tcPr/>
          <w:p>
            <w:pPr>
              <w:pStyle w:val="Compact"/>
              <w:jc w:val="left"/>
            </w:pPr>
            <w:r>
              <w:t xml:space="preserve">89.90</w:t>
            </w:r>
          </w:p>
        </w:tc>
        <w:tc>
          <w:tcPr/>
          <w:p>
            <w:pPr>
              <w:pStyle w:val="Compact"/>
              <w:jc w:val="left"/>
            </w:pPr>
            <w:r>
              <w:t xml:space="preserve">899.00</w:t>
            </w:r>
          </w:p>
        </w:tc>
      </w:tr>
      <w:tr>
        <w:tc>
          <w:tcPr/>
          <w:p>
            <w:pPr>
              <w:pStyle w:val="Compact"/>
              <w:jc w:val="left"/>
            </w:pPr>
            <w:r>
              <w:t xml:space="preserve">08</w:t>
            </w:r>
          </w:p>
        </w:tc>
        <w:tc>
          <w:tcPr/>
          <w:p>
            <w:pPr>
              <w:pStyle w:val="Compact"/>
              <w:jc w:val="left"/>
            </w:pPr>
            <w:r>
              <w:t xml:space="preserve">Vitamin D3 2000 IU Softgels (90 caps) – Supplement</w:t>
            </w:r>
          </w:p>
        </w:tc>
        <w:tc>
          <w:tcPr/>
          <w:p>
            <w:pPr>
              <w:pStyle w:val="Compact"/>
              <w:jc w:val="left"/>
            </w:pPr>
            <w:r>
              <w:t xml:space="preserve">VIT-D3-2000-90</w:t>
            </w:r>
          </w:p>
        </w:tc>
        <w:tc>
          <w:tcPr/>
          <w:p>
            <w:pPr>
              <w:pStyle w:val="Compact"/>
              <w:jc w:val="left"/>
            </w:pPr>
            <w:r>
              <w:t xml:space="preserve">35</w:t>
            </w:r>
          </w:p>
        </w:tc>
        <w:tc>
          <w:tcPr/>
          <w:p>
            <w:pPr>
              <w:pStyle w:val="Compact"/>
              <w:jc w:val="left"/>
            </w:pPr>
            <w:r>
              <w:t xml:space="preserve">38.60</w:t>
            </w:r>
          </w:p>
        </w:tc>
        <w:tc>
          <w:tcPr/>
          <w:p>
            <w:pPr>
              <w:pStyle w:val="Compact"/>
              <w:jc w:val="left"/>
            </w:pPr>
            <w:r>
              <w:t xml:space="preserve">1351.00</w:t>
            </w:r>
          </w:p>
        </w:tc>
      </w:tr>
      <w:tr>
        <w:tc>
          <w:tcPr/>
          <w:p>
            <w:pPr>
              <w:pStyle w:val="Compact"/>
              <w:jc w:val="left"/>
            </w:pPr>
            <w:r>
              <w:t xml:space="preserve">09</w:t>
            </w:r>
          </w:p>
        </w:tc>
        <w:tc>
          <w:tcPr/>
          <w:p>
            <w:pPr>
              <w:pStyle w:val="Compact"/>
              <w:jc w:val="left"/>
            </w:pPr>
            <w:r>
              <w:t xml:space="preserve">Surgical Mask (3-ply) – Box of 50, CE Certified</w:t>
            </w:r>
          </w:p>
        </w:tc>
        <w:tc>
          <w:tcPr/>
          <w:p>
            <w:pPr>
              <w:pStyle w:val="Compact"/>
              <w:jc w:val="left"/>
            </w:pPr>
            <w:r>
              <w:t xml:space="preserve">MAS-SRG-50</w:t>
            </w:r>
          </w:p>
        </w:tc>
        <w:tc>
          <w:tcPr/>
          <w:p>
            <w:pPr>
              <w:pStyle w:val="Compact"/>
              <w:jc w:val="left"/>
            </w:pPr>
            <w:r>
              <w:t xml:space="preserve">60</w:t>
            </w:r>
          </w:p>
        </w:tc>
        <w:tc>
          <w:tcPr/>
          <w:p>
            <w:pPr>
              <w:pStyle w:val="Compact"/>
              <w:jc w:val="left"/>
            </w:pPr>
            <w:r>
              <w:t xml:space="preserve">22.00</w:t>
            </w:r>
          </w:p>
        </w:tc>
        <w:tc>
          <w:tcPr/>
          <w:p>
            <w:pPr>
              <w:pStyle w:val="Compact"/>
              <w:jc w:val="left"/>
            </w:pPr>
            <w:r>
              <w:t xml:space="preserve">1320.00</w:t>
            </w:r>
          </w:p>
        </w:tc>
      </w:tr>
      <w:tr>
        <w:tc>
          <w:tcPr/>
          <w:p>
            <w:pPr>
              <w:pStyle w:val="Compact"/>
              <w:jc w:val="left"/>
            </w:pPr>
            <w:r>
              <w:t xml:space="preserve">10</w:t>
            </w:r>
          </w:p>
        </w:tc>
        <w:tc>
          <w:tcPr/>
          <w:p>
            <w:pPr>
              <w:pStyle w:val="Compact"/>
              <w:jc w:val="left"/>
            </w:pPr>
            <w:r>
              <w:t xml:space="preserve">Hand Sanitizer 70% Alcohol 500ml – Hospital dispensing</w:t>
            </w:r>
          </w:p>
        </w:tc>
        <w:tc>
          <w:tcPr/>
          <w:p>
            <w:pPr>
              <w:pStyle w:val="Compact"/>
              <w:jc w:val="left"/>
            </w:pPr>
            <w:r>
              <w:t xml:space="preserve">SAN-70-500</w:t>
            </w:r>
          </w:p>
        </w:tc>
        <w:tc>
          <w:tcPr/>
          <w:p>
            <w:pPr>
              <w:pStyle w:val="Compact"/>
              <w:jc w:val="left"/>
            </w:pPr>
            <w:r>
              <w:t xml:space="preserve">45</w:t>
            </w:r>
          </w:p>
        </w:tc>
        <w:tc>
          <w:tcPr/>
          <w:p>
            <w:pPr>
              <w:pStyle w:val="Compact"/>
              <w:jc w:val="left"/>
            </w:pPr>
            <w:r>
              <w:t xml:space="preserve">16.75</w:t>
            </w:r>
          </w:p>
        </w:tc>
        <w:tc>
          <w:tcPr/>
          <w:p>
            <w:pPr>
              <w:pStyle w:val="Compact"/>
              <w:jc w:val="left"/>
            </w:pPr>
            <w:r>
              <w:t xml:space="preserve">753.75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left"/>
            </w:pPr>
            <w:r>
              <w:t xml:space="preserve">8,078.25</w:t>
            </w:r>
          </w:p>
        </w:tc>
      </w:tr>
      <w:tr>
        <w:tc>
          <w:tcPr/>
          <w:p>
            <w:pPr>
              <w:pStyle w:val="Compact"/>
              <w:jc w:val="left"/>
            </w:pPr>
            <w:r>
              <w:t xml:space="preserve">IGV – General Sales Tax (18%)</w:t>
            </w:r>
          </w:p>
        </w:tc>
        <w:tc>
          <w:tcPr/>
          <w:p>
            <w:pPr>
              <w:pStyle w:val="Compact"/>
              <w:jc w:val="left"/>
            </w:pPr>
            <w:r>
              <w:t xml:space="preserve">1,454.09</w:t>
            </w:r>
          </w:p>
        </w:tc>
      </w:tr>
      <w:tr>
        <w:tc>
          <w:tcPr/>
          <w:p>
            <w:pPr>
              <w:pStyle w:val="Compact"/>
              <w:jc w:val="left"/>
            </w:pPr>
            <w:r>
              <w:t xml:space="preserve">Delivery Fee – Lima Metropolitan Area</w:t>
            </w:r>
          </w:p>
        </w:tc>
        <w:tc>
          <w:tcPr/>
          <w:p>
            <w:pPr>
              <w:pStyle w:val="Compact"/>
              <w:jc w:val="left"/>
            </w:pPr>
            <w:r>
              <w:t xml:space="preserve">85.00</w:t>
            </w:r>
          </w:p>
        </w:tc>
      </w:tr>
      <w:tr>
        <w:tc>
          <w:tcPr/>
          <w:p>
            <w:pPr>
              <w:pStyle w:val="Compact"/>
              <w:jc w:val="left"/>
            </w:pPr>
            <w:r>
              <w:t xml:space="preserve">GRAND TOTAL (S/)</w:t>
            </w:r>
          </w:p>
        </w:tc>
        <w:tc>
          <w:tcPr/>
          <w:p>
            <w:pPr>
              <w:pStyle w:val="Compact"/>
              <w:jc w:val="left"/>
            </w:pPr>
            <w:r>
              <w:t xml:space="preserve">9,617.34</w:t>
            </w:r>
          </w:p>
        </w:tc>
      </w:tr>
    </w:tbl>
    <w:bookmarkStart w:id="24" w:name="notes-terms-of-service"/>
    <w:p>
      <w:pPr>
        <w:pStyle w:val="Heading3"/>
      </w:pPr>
      <w:r>
        <w:t xml:space="preserve">Notes &amp; Terms of Service</w:t>
      </w:r>
    </w:p>
    <w:p>
      <w:pPr>
        <w:numPr>
          <w:ilvl w:val="0"/>
          <w:numId w:val="1001"/>
        </w:numPr>
        <w:pStyle w:val="Compact"/>
      </w:pPr>
      <w:r>
        <w:t xml:space="preserve">This invoice is issued by Farmacia Quimica del Pacífico, a registered chemist and pharmacy operating in Lima, Peru, in full compliance with the regulations established by DIGEMID (Dirección General de Medicamentos, Insumos y Productos Médicos) and the Municipalidad de San Isidro.</w:t>
      </w:r>
    </w:p>
    <w:p>
      <w:pPr>
        <w:numPr>
          <w:ilvl w:val="0"/>
          <w:numId w:val="1001"/>
        </w:numPr>
        <w:pStyle w:val="Compact"/>
      </w:pPr>
      <w:r>
        <w:t xml:space="preserve">All pharmaceutical products listed in this invoice are subject to Peruvian health regulations. Prescription medications (items 01, 03, 04) were dispensed in accordance with valid medical prescriptions on file at our chemist counter in Lima.</w:t>
      </w:r>
    </w:p>
    <w:p>
      <w:pPr>
        <w:numPr>
          <w:ilvl w:val="0"/>
          <w:numId w:val="1001"/>
        </w:numPr>
        <w:pStyle w:val="Compact"/>
      </w:pPr>
      <w:r>
        <w:t xml:space="preserve">Payment is due within fifteen (15) calendar days from the date of issue. Late payments will incur a financial penalty of 1.5% per month as stipulated by Peruvian commercial law (Código Civil del Perú, Art. 1320).</w:t>
      </w:r>
    </w:p>
    <w:p>
      <w:pPr>
        <w:numPr>
          <w:ilvl w:val="0"/>
          <w:numId w:val="1001"/>
        </w:numPr>
        <w:pStyle w:val="Compact"/>
      </w:pPr>
      <w:r>
        <w:t xml:space="preserve">All products are guaranteed to be within their expiration date at the time of delivery. The chemist team at our Lima facility verifies batch numbers and storage conditions prior to dispatch.</w:t>
      </w:r>
    </w:p>
    <w:p>
      <w:pPr>
        <w:numPr>
          <w:ilvl w:val="0"/>
          <w:numId w:val="1001"/>
        </w:numPr>
        <w:pStyle w:val="Compact"/>
      </w:pPr>
      <w:r>
        <w:t xml:space="preserve">For returns or quality claims, please contact our pharmacy within seven (7) business days of delivery. Products must be returned in their original packaging to our address in San Isidro, Lima, Peru.</w:t>
      </w:r>
    </w:p>
    <w:p>
      <w:pPr>
        <w:numPr>
          <w:ilvl w:val="0"/>
          <w:numId w:val="1001"/>
        </w:numPr>
        <w:pStyle w:val="Compact"/>
      </w:pPr>
      <w:r>
        <w:t xml:space="preserve">This document serves as the official fiscal invoice (Factura) for tax purposes in Peru. The RUC number and IGV breakdown comply with SUNAT (Superintendencia Nacional de Aduanas y de Administración Tributaria) requirements.</w:t>
      </w:r>
    </w:p>
    <w:p>
      <w:pPr>
        <w:numPr>
          <w:ilvl w:val="0"/>
          <w:numId w:val="1001"/>
        </w:numPr>
        <w:pStyle w:val="Compact"/>
      </w:pPr>
      <w:r>
        <w:t xml:space="preserve">Delivery is limited to the Lima Metropolitan Region. For shipments to other regions of Peru, a separate logistics quote will be provided by our chemist distribution team.</w:t>
      </w:r>
    </w:p>
    <w:bookmarkEnd w:id="24"/>
    <w:bookmarkStart w:id="25" w:name="accepted-payment-methods"/>
    <w:p>
      <w:pPr>
        <w:pStyle w:val="Heading4"/>
      </w:pPr>
      <w:r>
        <w:t xml:space="preserve">Accepted Payment Methods</w:t>
      </w:r>
    </w:p>
    <w:p>
      <w:pPr>
        <w:pStyle w:val="FirstParagraph"/>
      </w:pPr>
      <w:r>
        <w:t xml:space="preserve">Bank Transfer: BCP – Cta. Cte. 191-12345678-0-19 (Farmacia Quimica del Pacífico S.A.C.)</w:t>
      </w:r>
    </w:p>
    <w:p>
      <w:pPr>
        <w:pStyle w:val="BodyText"/>
      </w:pPr>
      <w:r>
        <w:t xml:space="preserve">IBAN: PE18 0021 0000 0000 0000 0000 0000 0000 0000 0000 0000</w:t>
      </w:r>
    </w:p>
    <w:p>
      <w:pPr>
        <w:pStyle w:val="BodyText"/>
      </w:pPr>
      <w:r>
        <w:t xml:space="preserve">Corporate Card: Visa/Mastercard (minimum S/ 500.00)</w:t>
      </w:r>
    </w:p>
    <w:p>
      <w:pPr>
        <w:pStyle w:val="BodyText"/>
      </w:pPr>
      <w:r>
        <w:t xml:space="preserve">Cash or Cheque: At our chemist counter, Av. Javier Prado Este 1245, San Isidro, Lima, Peru</w:t>
      </w:r>
    </w:p>
    <w:bookmarkEnd w:id="25"/>
    <w:p>
      <w:pPr>
        <w:pStyle w:val="BodyText"/>
      </w:pPr>
      <w:r>
        <w:t xml:space="preserve">Authorized Signature – Chemist / Pharmacist</w:t>
      </w:r>
    </w:p>
    <w:p>
      <w:pPr>
        <w:pStyle w:val="BodyText"/>
      </w:pPr>
      <w:r>
        <w:t xml:space="preserve">Lic. Carlos Mendoza, RUP 12345</w:t>
      </w:r>
    </w:p>
    <w:p>
      <w:pPr>
        <w:pStyle w:val="BodyText"/>
      </w:pPr>
      <w:r>
        <w:t xml:space="preserve">Farmacia Quimica del Pacífico</w:t>
      </w:r>
    </w:p>
    <w:p>
      <w:pPr>
        <w:pStyle w:val="BodyText"/>
      </w:pPr>
      <w:r>
        <w:t xml:space="preserve">Received By – Client Representative</w:t>
      </w:r>
    </w:p>
    <w:p>
      <w:pPr>
        <w:pStyle w:val="BodyText"/>
      </w:pPr>
      <w:r>
        <w:t xml:space="preserve">Dra. María Fernández</w:t>
      </w:r>
    </w:p>
    <w:p>
      <w:pPr>
        <w:pStyle w:val="BodyText"/>
      </w:pPr>
      <w:r>
        <w:t xml:space="preserve">Empresa Médica Andina S.A.C.</w:t>
      </w:r>
    </w:p>
    <w:p>
      <w:pPr>
        <w:pStyle w:val="BodyText"/>
      </w:pPr>
      <w:r>
        <w:t xml:space="preserve">Farmacia Quimica del Pacífico S.A.C. | RUC: 20512345678 | Av. Javier Prado Este 1245, San Isidro, Lima, Peru</w:t>
      </w:r>
    </w:p>
    <w:p>
      <w:pPr>
        <w:pStyle w:val="BodyText"/>
      </w:pPr>
      <w:r>
        <w:t xml:space="preserve">Registered with DIGEMID, SUNAT, and Municipalidad de San Isidro. All rights reserved.</w:t>
      </w:r>
    </w:p>
    <w:p>
      <w:pPr>
        <w:pStyle w:val="BodyText"/>
      </w:pPr>
      <w:r>
        <w:t xml:space="preserve">This invoice was generated electronically in Lima, Peru on June 12, 2025. For inquiries, contact our chemist support line at +51 (01) 445-6789 or email ventas@farmaciapacifico.pe.</w:t>
      </w:r>
    </w:p>
    <w:p>
      <w:pPr>
        <w:pStyle w:val="BodyText"/>
      </w:pPr>
      <w:r>
        <w:t xml:space="preserve">Thank you for choosing our pharmacy services in Lima, Peru. Your health and trust are our highest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Farmacia Quimica del Pacífico - Lima, Peru</dc:title>
  <dc:creator/>
  <dc:language>en</dc:language>
  <cp:keywords/>
  <dcterms:created xsi:type="dcterms:W3CDTF">2026-10-10T06:14:33Z</dcterms:created>
  <dcterms:modified xsi:type="dcterms:W3CDTF">2026-10-10T06:14:33Z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