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X4dbf0a80270a4902f2a6fb4d3f5ca800f8f8ea0"/>
    <w:p>
      <w:pPr>
        <w:pStyle w:val="Heading1"/>
      </w:pPr>
      <w:r>
        <w:t xml:space="preserve">Manila Chemist &amp; Pharmaceutical Services, Inc.</w:t>
      </w:r>
    </w:p>
    <w:p>
      <w:pPr>
        <w:pStyle w:val="FirstParagraph"/>
      </w:pPr>
      <w:r>
        <w:t xml:space="preserve">Unit 1204, Ayala Center Tower 2, Makati City</w:t>
      </w:r>
    </w:p>
    <w:p>
      <w:pPr>
        <w:pStyle w:val="BodyText"/>
      </w:pPr>
      <w:r>
        <w:t xml:space="preserve">Philippines Manila, Metro Manila 1226</w:t>
      </w:r>
    </w:p>
    <w:p>
      <w:pPr>
        <w:pStyle w:val="BodyText"/>
      </w:pPr>
      <w:r>
        <w:t xml:space="preserve">Tel: +63 (2) 8888-4521 | Email: billing@manilachemist.ph</w:t>
      </w:r>
    </w:p>
    <w:p>
      <w:pPr>
        <w:pStyle w:val="BodyText"/>
      </w:pPr>
      <w:r>
        <w:t xml:space="preserve">TIN: 000-123-456-000 | BIR-Registered</w:t>
      </w:r>
    </w:p>
    <w:bookmarkEnd w:id="20"/>
    <w:bookmarkStart w:id="21" w:name="invoice"/>
    <w:p>
      <w:pPr>
        <w:pStyle w:val="Heading2"/>
      </w:pPr>
      <w:r>
        <w:t xml:space="preserve">INVOICE</w:t>
      </w:r>
    </w:p>
    <w:p>
      <w:pPr>
        <w:pStyle w:val="FirstParagraph"/>
      </w:pPr>
      <w:r>
        <w:t xml:space="preserve">Invoice No: MC-2025-00487</w:t>
      </w:r>
    </w:p>
    <w:p>
      <w:pPr>
        <w:pStyle w:val="BodyText"/>
      </w:pPr>
      <w:r>
        <w:t xml:space="preserve">Date Issued: June 15, 2025</w:t>
      </w:r>
    </w:p>
    <w:p>
      <w:pPr>
        <w:pStyle w:val="BodyText"/>
      </w:pPr>
      <w:r>
        <w:t xml:space="preserve">Due Date: July 15,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Dr. Maria Santos, M.D.</w:t>
      </w:r>
    </w:p>
    <w:p>
      <w:pPr>
        <w:pStyle w:val="BodyText"/>
      </w:pPr>
      <w:r>
        <w:t xml:space="preserve">Santos Medical Clinic</w:t>
      </w:r>
    </w:p>
    <w:p>
      <w:pPr>
        <w:pStyle w:val="BodyText"/>
      </w:pPr>
      <w:r>
        <w:t xml:space="preserve">2455 Quezon Avenue, Quezon City</w:t>
      </w:r>
    </w:p>
    <w:p>
      <w:pPr>
        <w:pStyle w:val="BodyText"/>
      </w:pPr>
      <w:r>
        <w:t xml:space="preserve">Philippines Manila, Metro Manila 1101</w:t>
      </w:r>
    </w:p>
    <w:p>
      <w:pPr>
        <w:pStyle w:val="BodyText"/>
      </w:pPr>
      <w:r>
        <w:t xml:space="preserve">TIN: 123-456-789-000</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May 1 – May 31, 2025</w:t>
      </w:r>
    </w:p>
    <w:p>
      <w:pPr>
        <w:pStyle w:val="BodyText"/>
      </w:pPr>
      <w:r>
        <w:rPr>
          <w:bCs/>
          <w:b/>
        </w:rPr>
        <w:t xml:space="preserve">Payment Terms:</w:t>
      </w:r>
      <w:r>
        <w:t xml:space="preserve"> </w:t>
      </w:r>
      <w:r>
        <w:t xml:space="preserve">Net 30 Days</w:t>
      </w:r>
    </w:p>
    <w:p>
      <w:pPr>
        <w:pStyle w:val="BodyText"/>
      </w:pPr>
      <w:r>
        <w:rPr>
          <w:bCs/>
          <w:b/>
        </w:rPr>
        <w:t xml:space="preserve">Payment Method:</w:t>
      </w:r>
      <w:r>
        <w:t xml:space="preserve"> </w:t>
      </w:r>
      <w:r>
        <w:t xml:space="preserve">Bank Transfer / Check</w:t>
      </w:r>
    </w:p>
    <w:p>
      <w:pPr>
        <w:pStyle w:val="BodyText"/>
      </w:pPr>
      <w:r>
        <w:rPr>
          <w:bCs/>
          <w:b/>
        </w:rPr>
        <w:t xml:space="preserve">Bank:</w:t>
      </w:r>
      <w:r>
        <w:t xml:space="preserve"> </w:t>
      </w:r>
      <w:r>
        <w:t xml:space="preserve">BDO Unibank, Makati Branch</w:t>
      </w:r>
    </w:p>
    <w:p>
      <w:pPr>
        <w:pStyle w:val="BodyText"/>
      </w:pPr>
      <w:r>
        <w:rPr>
          <w:bCs/>
          <w:b/>
        </w:rPr>
        <w:t xml:space="preserve">Account No:</w:t>
      </w:r>
      <w:r>
        <w:t xml:space="preserve"> </w:t>
      </w:r>
      <w:r>
        <w:t xml:space="preserve">0123-4567-8901</w:t>
      </w:r>
    </w:p>
    <w:bookmarkEnd w:id="23"/>
    <w:bookmarkStart w:id="24" w:name="chemist-reference"/>
    <w:p>
      <w:pPr>
        <w:pStyle w:val="Heading3"/>
      </w:pPr>
      <w:r>
        <w:t xml:space="preserve">Chemist Reference</w:t>
      </w:r>
    </w:p>
    <w:p>
      <w:pPr>
        <w:pStyle w:val="FirstParagraph"/>
      </w:pPr>
      <w:r>
        <w:rPr>
          <w:bCs/>
          <w:b/>
        </w:rPr>
        <w:t xml:space="preserve">Lead Chemist:</w:t>
      </w:r>
      <w:r>
        <w:t xml:space="preserve"> </w:t>
      </w:r>
      <w:r>
        <w:t xml:space="preserve">Dr. James Reyes, RPh</w:t>
      </w:r>
    </w:p>
    <w:p>
      <w:pPr>
        <w:pStyle w:val="BodyText"/>
      </w:pPr>
      <w:r>
        <w:rPr>
          <w:bCs/>
          <w:b/>
        </w:rPr>
        <w:t xml:space="preserve">License No:</w:t>
      </w:r>
      <w:r>
        <w:t xml:space="preserve"> </w:t>
      </w:r>
      <w:r>
        <w:t xml:space="preserve">PRC-CH-2019-004521</w:t>
      </w:r>
    </w:p>
    <w:p>
      <w:pPr>
        <w:pStyle w:val="BodyText"/>
      </w:pPr>
      <w:r>
        <w:rPr>
          <w:bCs/>
          <w:b/>
        </w:rPr>
        <w:t xml:space="preserve">Department:</w:t>
      </w:r>
      <w:r>
        <w:t xml:space="preserve"> </w:t>
      </w:r>
      <w:r>
        <w:t xml:space="preserve">Clinical Pharmacy &amp; Compounding</w:t>
      </w:r>
    </w:p>
    <w:p>
      <w:pPr>
        <w:pStyle w:val="BodyText"/>
      </w:pPr>
      <w:r>
        <w:rPr>
          <w:bCs/>
          <w:b/>
        </w:rPr>
        <w:t xml:space="preserve">Project Code:</w:t>
      </w:r>
      <w:r>
        <w:t xml:space="preserve"> </w:t>
      </w:r>
      <w:r>
        <w:t xml:space="preserve">PH-MNL-2025-05</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Services</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Custom pharmaceutical compounding of topical corticosteroid cream (0.5% hydrocortisone) per physician prescription for outpatient use</w:t>
            </w:r>
          </w:p>
        </w:tc>
        <w:tc>
          <w:tcPr/>
          <w:p>
            <w:pPr>
              <w:pStyle w:val="Compact"/>
              <w:jc w:val="left"/>
            </w:pPr>
            <w:r>
              <w:t xml:space="preserve">Compounding</w:t>
            </w:r>
          </w:p>
        </w:tc>
        <w:tc>
          <w:tcPr/>
          <w:p>
            <w:pPr>
              <w:pStyle w:val="Compact"/>
              <w:jc w:val="left"/>
            </w:pPr>
            <w:r>
              <w:t xml:space="preserve">25</w:t>
            </w:r>
          </w:p>
        </w:tc>
        <w:tc>
          <w:tcPr/>
          <w:p>
            <w:pPr>
              <w:pStyle w:val="Compact"/>
              <w:jc w:val="left"/>
            </w:pPr>
            <w:r>
              <w:t xml:space="preserve">1,850.00</w:t>
            </w:r>
          </w:p>
        </w:tc>
        <w:tc>
          <w:tcPr/>
          <w:p>
            <w:pPr>
              <w:pStyle w:val="Compact"/>
              <w:jc w:val="left"/>
            </w:pPr>
            <w:r>
              <w:t xml:space="preserve">46,250.00</w:t>
            </w:r>
          </w:p>
        </w:tc>
      </w:tr>
      <w:tr>
        <w:tc>
          <w:tcPr/>
          <w:p>
            <w:pPr>
              <w:pStyle w:val="Compact"/>
              <w:jc w:val="left"/>
            </w:pPr>
            <w:r>
              <w:t xml:space="preserve">2</w:t>
            </w:r>
          </w:p>
        </w:tc>
        <w:tc>
          <w:tcPr/>
          <w:p>
            <w:pPr>
              <w:pStyle w:val="Compact"/>
              <w:jc w:val="left"/>
            </w:pPr>
            <w:r>
              <w:t xml:space="preserve">Pharmacokinetic drug interaction analysis and therapeutic drug monitoring consultation for inpatient oncology ward</w:t>
            </w:r>
          </w:p>
        </w:tc>
        <w:tc>
          <w:tcPr/>
          <w:p>
            <w:pPr>
              <w:pStyle w:val="Compact"/>
              <w:jc w:val="left"/>
            </w:pPr>
            <w:r>
              <w:t xml:space="preserve">Consultation</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Quality assurance and stability testing of bulk pharmaceutical raw materials (APIs) sourced from international suppliers</w:t>
            </w:r>
          </w:p>
        </w:tc>
        <w:tc>
          <w:tcPr/>
          <w:p>
            <w:pPr>
              <w:pStyle w:val="Compact"/>
              <w:jc w:val="left"/>
            </w:pPr>
            <w:r>
              <w:t xml:space="preserve">Lab Testing</w:t>
            </w:r>
          </w:p>
        </w:tc>
        <w:tc>
          <w:tcPr/>
          <w:p>
            <w:pPr>
              <w:pStyle w:val="Compact"/>
              <w:jc w:val="left"/>
            </w:pPr>
            <w:r>
              <w:t xml:space="preserve">8</w:t>
            </w:r>
          </w:p>
        </w:tc>
        <w:tc>
          <w:tcPr/>
          <w:p>
            <w:pPr>
              <w:pStyle w:val="Compact"/>
              <w:jc w:val="left"/>
            </w:pPr>
            <w:r>
              <w:t xml:space="preserve">5,600.00</w:t>
            </w:r>
          </w:p>
        </w:tc>
        <w:tc>
          <w:tcPr/>
          <w:p>
            <w:pPr>
              <w:pStyle w:val="Compact"/>
              <w:jc w:val="left"/>
            </w:pPr>
            <w:r>
              <w:t xml:space="preserve">44,800.00</w:t>
            </w:r>
          </w:p>
        </w:tc>
      </w:tr>
      <w:tr>
        <w:tc>
          <w:tcPr/>
          <w:p>
            <w:pPr>
              <w:pStyle w:val="Compact"/>
              <w:jc w:val="left"/>
            </w:pPr>
            <w:r>
              <w:t xml:space="preserve">4</w:t>
            </w:r>
          </w:p>
        </w:tc>
        <w:tc>
          <w:tcPr/>
          <w:p>
            <w:pPr>
              <w:pStyle w:val="Compact"/>
              <w:jc w:val="left"/>
            </w:pPr>
            <w:r>
              <w:t xml:space="preserve">Monthly inventory audit and expiry date management for the clinic's pharmaceutical storage facility in Philippines Manila</w:t>
            </w:r>
          </w:p>
        </w:tc>
        <w:tc>
          <w:tcPr/>
          <w:p>
            <w:pPr>
              <w:pStyle w:val="Compact"/>
              <w:jc w:val="left"/>
            </w:pPr>
            <w:r>
              <w:t xml:space="preserve">Inventory Mgmt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Preparation and submission of FDA Philippines (BFDA) regulatory documentation for new drug formulation registration</w:t>
            </w:r>
          </w:p>
        </w:tc>
        <w:tc>
          <w:tcPr/>
          <w:p>
            <w:pPr>
              <w:pStyle w:val="Compact"/>
              <w:jc w:val="left"/>
            </w:pPr>
            <w:r>
              <w:t xml:space="preserve">Regulatory</w:t>
            </w:r>
          </w:p>
        </w:tc>
        <w:tc>
          <w:tcPr/>
          <w:p>
            <w:pPr>
              <w:pStyle w:val="Compact"/>
              <w:jc w:val="left"/>
            </w:pPr>
            <w:r>
              <w:t xml:space="preserve">3</w:t>
            </w:r>
          </w:p>
        </w:tc>
        <w:tc>
          <w:tcPr/>
          <w:p>
            <w:pPr>
              <w:pStyle w:val="Compact"/>
              <w:jc w:val="left"/>
            </w:pPr>
            <w:r>
              <w:t xml:space="preserve">8,750.00</w:t>
            </w:r>
          </w:p>
        </w:tc>
        <w:tc>
          <w:tcPr/>
          <w:p>
            <w:pPr>
              <w:pStyle w:val="Compact"/>
              <w:jc w:val="left"/>
            </w:pPr>
            <w:r>
              <w:t xml:space="preserve">26,250.00</w:t>
            </w:r>
          </w:p>
        </w:tc>
      </w:tr>
      <w:tr>
        <w:tc>
          <w:tcPr/>
          <w:p>
            <w:pPr>
              <w:pStyle w:val="Compact"/>
              <w:jc w:val="left"/>
            </w:pPr>
            <w:r>
              <w:t xml:space="preserve">6</w:t>
            </w:r>
          </w:p>
        </w:tc>
        <w:tc>
          <w:tcPr/>
          <w:p>
            <w:pPr>
              <w:pStyle w:val="Compact"/>
              <w:jc w:val="left"/>
            </w:pPr>
            <w:r>
              <w:t xml:space="preserve">On-site chemist training session for clinic nursing staff on proper medication storage, handling, and waste disposal protocols</w:t>
            </w:r>
          </w:p>
        </w:tc>
        <w:tc>
          <w:tcPr/>
          <w:p>
            <w:pPr>
              <w:pStyle w:val="Compact"/>
              <w:jc w:val="left"/>
            </w:pPr>
            <w:r>
              <w:t xml:space="preserve">Training</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7</w:t>
            </w:r>
          </w:p>
        </w:tc>
        <w:tc>
          <w:tcPr/>
          <w:p>
            <w:pPr>
              <w:pStyle w:val="Compact"/>
              <w:jc w:val="left"/>
            </w:pPr>
            <w:r>
              <w:t xml:space="preserve">Emergency supply of critical IV medications and sterile compounding supplies delivered to clinic in Philippines Manila</w:t>
            </w:r>
          </w:p>
        </w:tc>
        <w:tc>
          <w:tcPr/>
          <w:p>
            <w:pPr>
              <w:pStyle w:val="Compact"/>
              <w:jc w:val="left"/>
            </w:pPr>
            <w:r>
              <w:t xml:space="preserve">Supply</w:t>
            </w:r>
          </w:p>
        </w:tc>
        <w:tc>
          <w:tcPr/>
          <w:p>
            <w:pPr>
              <w:pStyle w:val="Compact"/>
              <w:jc w:val="left"/>
            </w:pPr>
            <w:r>
              <w:t xml:space="preserve">1</w:t>
            </w:r>
          </w:p>
        </w:tc>
        <w:tc>
          <w:tcPr/>
          <w:p>
            <w:pPr>
              <w:pStyle w:val="Compact"/>
              <w:jc w:val="left"/>
            </w:pPr>
            <w:r>
              <w:t xml:space="preserve">18,300.00</w:t>
            </w:r>
          </w:p>
        </w:tc>
        <w:tc>
          <w:tcPr/>
          <w:p>
            <w:pPr>
              <w:pStyle w:val="Compact"/>
              <w:jc w:val="left"/>
            </w:pPr>
            <w:r>
              <w:t xml:space="preserve">18,300.00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195,500.00</w:t>
            </w:r>
          </w:p>
        </w:tc>
      </w:tr>
      <w:tr>
        <w:tc>
          <w:tcPr/>
          <w:p>
            <w:pPr>
              <w:pStyle w:val="Compact"/>
              <w:jc w:val="left"/>
            </w:pPr>
            <w:r>
              <w:t xml:space="preserve">VAT (12% – Republic Act No. 10963)</w:t>
            </w:r>
          </w:p>
        </w:tc>
        <w:tc>
          <w:tcPr/>
          <w:p>
            <w:pPr>
              <w:pStyle w:val="Compact"/>
              <w:jc w:val="left"/>
            </w:pPr>
            <w:r>
              <w:t xml:space="preserve">PHP 23,460.00</w:t>
            </w:r>
          </w:p>
        </w:tc>
      </w:tr>
      <w:tr>
        <w:tc>
          <w:tcPr/>
          <w:p>
            <w:pPr>
              <w:pStyle w:val="Compact"/>
              <w:jc w:val="left"/>
            </w:pPr>
            <w:r>
              <w:t xml:space="preserve">Delivery &amp; Handling (Metro Manila)</w:t>
            </w:r>
          </w:p>
        </w:tc>
        <w:tc>
          <w:tcPr/>
          <w:p>
            <w:pPr>
              <w:pStyle w:val="Compact"/>
              <w:jc w:val="left"/>
            </w:pPr>
            <w:r>
              <w:t xml:space="preserve">PHP 1,500.00</w:t>
            </w:r>
          </w:p>
        </w:tc>
      </w:tr>
      <w:tr>
        <w:tc>
          <w:tcPr/>
          <w:p>
            <w:pPr>
              <w:pStyle w:val="Compact"/>
              <w:jc w:val="left"/>
            </w:pPr>
            <w:r>
              <w:t xml:space="preserve">Early Payment Discount (2% if paid before June 30, 2025)</w:t>
            </w:r>
          </w:p>
        </w:tc>
        <w:tc>
          <w:tcPr/>
          <w:p>
            <w:pPr>
              <w:pStyle w:val="Compact"/>
              <w:jc w:val="left"/>
            </w:pPr>
            <w:r>
              <w:t xml:space="preserve">- PHP 3,910.00</w:t>
            </w:r>
          </w:p>
        </w:tc>
      </w:tr>
      <w:tr>
        <w:tc>
          <w:tcPr/>
          <w:p>
            <w:pPr>
              <w:pStyle w:val="Compact"/>
              <w:jc w:val="left"/>
            </w:pPr>
            <w:r>
              <w:t xml:space="preserve">GRAND TOTAL DUE</w:t>
            </w:r>
          </w:p>
        </w:tc>
        <w:tc>
          <w:tcPr/>
          <w:p>
            <w:pPr>
              <w:pStyle w:val="Compact"/>
              <w:jc w:val="left"/>
            </w:pPr>
            <w:r>
              <w:t xml:space="preserve">PHP 216,550.00</w:t>
            </w:r>
          </w:p>
        </w:tc>
      </w:tr>
    </w:tbl>
    <w:bookmarkStart w:id="25" w:name="important-notes-regarding-this-invoice"/>
    <w:p>
      <w:pPr>
        <w:pStyle w:val="Heading3"/>
      </w:pPr>
      <w:r>
        <w:t xml:space="preserve">Important Notes Regarding This Invoice</w:t>
      </w:r>
    </w:p>
    <w:p>
      <w:pPr>
        <w:pStyle w:val="FirstParagraph"/>
      </w:pPr>
      <w:r>
        <w:t xml:space="preserve">This Invoice has been prepared by the licensed Chemist team at Manila Chemist &amp; Pharmaceutical Services, Inc., operating under the regulatory jurisdiction of the Bureau of Internal Revenue (BIR) and the Food and Drug Administration (FDA) of the Philippines. All pharmaceutical compounding and laboratory services rendered in compliance with Philippine national standards.</w:t>
      </w:r>
    </w:p>
    <w:p>
      <w:pPr>
        <w:pStyle w:val="BodyText"/>
      </w:pPr>
      <w:r>
        <w:t xml:space="preserve">Please verify all line items against your service agreement. Any discrepancies must be reported within five (5) business days of the invoice date. The Chemist department reserves the right to re-issue a corrected Invoice if errors are identified.</w:t>
      </w:r>
    </w:p>
    <w:p>
      <w:pPr>
        <w:pStyle w:val="BodyText"/>
      </w:pPr>
      <w:r>
        <w:t xml:space="preserve">All services were performed at our facility located in Philippines Manila and at the client's premises in Quezon City, Metro Manila. Travel and on-site supervision by the lead Chemist are included in the billed amounts above.</w:t>
      </w:r>
    </w:p>
    <w:bookmarkEnd w:id="25"/>
    <w:bookmarkStart w:id="26" w:name="terms-and-conditions"/>
    <w:p>
      <w:pPr>
        <w:pStyle w:val="Heading3"/>
      </w:pPr>
      <w:r>
        <w:t xml:space="preserve">Terms and Conditions</w:t>
      </w:r>
    </w:p>
    <w:p>
      <w:pPr>
        <w:pStyle w:val="FirstParagraph"/>
      </w:pPr>
      <w:r>
        <w:t xml:space="preserve">1. Payment is due within thirty (30) calendar days from the date of this Invoice. Late payments shall incur a penalty of 1.5% per month as stipulated under Philippine commercial law.</w:t>
      </w:r>
    </w:p>
    <w:p>
      <w:pPr>
        <w:pStyle w:val="BodyText"/>
      </w:pPr>
      <w:r>
        <w:t xml:space="preserve">2. All pharmaceutical products and compounded preparations are subject to the Philippine Food and Drug Administration (BFDA) regulations and the Pharmacy Act of the Philippines (Republic Act No. 10918).</w:t>
      </w:r>
    </w:p>
    <w:p>
      <w:pPr>
        <w:pStyle w:val="BodyText"/>
      </w:pPr>
      <w:r>
        <w:t xml:space="preserve">3. The Chemist services described in this Invoice are non-transferable and specific to the named client. Subcontracting of services requires prior written consent.</w:t>
      </w:r>
    </w:p>
    <w:p>
      <w:pPr>
        <w:pStyle w:val="BodyText"/>
      </w:pPr>
      <w:r>
        <w:t xml:space="preserve">4. This Invoice constitutes a valid tax document for the purposes of the Bureau of Internal Revenue (BIR) in the Philippines. An Official Receipt (OR) will be issued upon confirmation of payment.</w:t>
      </w:r>
    </w:p>
    <w:p>
      <w:pPr>
        <w:pStyle w:val="BodyText"/>
      </w:pPr>
      <w:r>
        <w:t xml:space="preserve">5. Disputes arising from this Invoice shall be resolved through mediation in the courts of the Philippines, with jurisdiction in the city of Manila, Metro Manila.</w:t>
      </w:r>
    </w:p>
    <w:p>
      <w:pPr>
        <w:pStyle w:val="BodyText"/>
      </w:pPr>
      <w:r>
        <w:t xml:space="preserve">6. All intellectual property related to proprietary compounding formulas developed by our Chemist team remains the exclusive property of Manila Chemist &amp; Pharmaceutical Services, Inc.</w:t>
      </w:r>
    </w:p>
    <w:bookmarkEnd w:id="26"/>
    <w:p>
      <w:pPr>
        <w:pStyle w:val="BodyText"/>
      </w:pPr>
      <w:r>
        <w:t xml:space="preserve">Manila Chemist &amp; Pharmaceutical Services, Inc. | Philippines Manila, Metro Manila 1226</w:t>
      </w:r>
    </w:p>
    <w:p>
      <w:pPr>
        <w:pStyle w:val="BodyText"/>
      </w:pPr>
      <w:r>
        <w:t xml:space="preserve">This Invoice was generated electronically on June 15, 2025. For inquiries, contact our billing department at +63 (2) 8888-4521 or billing@manilachemist.ph.</w:t>
      </w:r>
    </w:p>
    <w:p>
      <w:pPr>
        <w:pStyle w:val="BodyText"/>
      </w:pPr>
      <w:r>
        <w:t xml:space="preserve">Thank you for choosing our Chemist services in the Philippines Manila region.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Services - Philippines Manila</dc:title>
  <dc:creator/>
  <dc:language>en</dc:language>
  <cp:keywords/>
  <dcterms:created xsi:type="dcterms:W3CDTF">2026-10-10T02:16:49Z</dcterms:created>
  <dcterms:modified xsi:type="dcterms:W3CDTF">2026-10-10T02:16:49Z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