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Al</w:t>
      </w:r>
      <w:r>
        <w:t xml:space="preserve"> </w:t>
      </w:r>
      <w:r>
        <w:t xml:space="preserve">Doha</w:t>
      </w:r>
      <w:r>
        <w:t xml:space="preserve"> </w:t>
      </w:r>
      <w:r>
        <w:t xml:space="preserve">Chemist</w:t>
      </w:r>
      <w:r>
        <w:t xml:space="preserve"> </w:t>
      </w:r>
      <w:r>
        <w:t xml:space="preserve">&amp;</w:t>
      </w:r>
      <w:r>
        <w:t xml:space="preserve"> </w:t>
      </w:r>
      <w:r>
        <w:t xml:space="preserve">Pharmacy</w:t>
      </w:r>
    </w:p>
    <w:bookmarkStart w:id="20" w:name="al-doha-chemist-pharmacy"/>
    <w:p>
      <w:pPr>
        <w:pStyle w:val="Heading1"/>
      </w:pPr>
      <w:r>
        <w:t xml:space="preserve">Al Doha Chemist &amp; Pharmacy</w:t>
      </w:r>
    </w:p>
    <w:p>
      <w:pPr>
        <w:pStyle w:val="FirstParagraph"/>
      </w:pPr>
      <w:r>
        <w:rPr>
          <w:bCs/>
          <w:b/>
        </w:rPr>
        <w:t xml:space="preserve">License No:</w:t>
      </w:r>
      <w:r>
        <w:t xml:space="preserve"> </w:t>
      </w:r>
      <w:r>
        <w:t xml:space="preserve">QP-2024-08847 (Ministry of Public Health, State of Qatar)</w:t>
      </w:r>
    </w:p>
    <w:p>
      <w:pPr>
        <w:pStyle w:val="BodyText"/>
      </w:pPr>
      <w:r>
        <w:rPr>
          <w:bCs/>
          <w:b/>
        </w:rPr>
        <w:t xml:space="preserve">Address:</w:t>
      </w:r>
      <w:r>
        <w:t xml:space="preserve"> </w:t>
      </w:r>
      <w:r>
        <w:t xml:space="preserve">Building 14, Street 21, Zone 32, Al Sadd, Doha, Qatar</w:t>
      </w:r>
    </w:p>
    <w:p>
      <w:pPr>
        <w:pStyle w:val="BodyText"/>
      </w:pPr>
      <w:r>
        <w:rPr>
          <w:bCs/>
          <w:b/>
        </w:rPr>
        <w:t xml:space="preserve">Phone:</w:t>
      </w:r>
      <w:r>
        <w:t xml:space="preserve"> </w:t>
      </w:r>
      <w:r>
        <w:t xml:space="preserve">+974 4455 6677  | </w:t>
      </w:r>
      <w:r>
        <w:t xml:space="preserve"> </w:t>
      </w:r>
      <w:r>
        <w:rPr>
          <w:bCs/>
          <w:b/>
        </w:rPr>
        <w:t xml:space="preserve">Email:</w:t>
      </w:r>
      <w:r>
        <w:t xml:space="preserve"> </w:t>
      </w:r>
      <w:r>
        <w:t xml:space="preserve">billing@aldohachemist.qa</w:t>
      </w:r>
    </w:p>
    <w:p>
      <w:pPr>
        <w:pStyle w:val="BodyText"/>
      </w:pPr>
      <w:r>
        <w:rPr>
          <w:bCs/>
          <w:b/>
        </w:rPr>
        <w:t xml:space="preserve">Commercial Registration:</w:t>
      </w:r>
      <w:r>
        <w:t xml:space="preserve"> </w:t>
      </w:r>
      <w:r>
        <w:t xml:space="preserve">CR-2019-44521 |</w:t>
      </w:r>
      <w:r>
        <w:t xml:space="preserve"> </w:t>
      </w:r>
      <w:r>
        <w:rPr>
          <w:bCs/>
          <w:b/>
        </w:rPr>
        <w:t xml:space="preserve">VAT No:</w:t>
      </w:r>
      <w:r>
        <w:t xml:space="preserve"> </w:t>
      </w:r>
      <w:r>
        <w:t xml:space="preserve">QV-3098-7721-4456</w:t>
      </w:r>
    </w:p>
    <w:p>
      <w:pPr>
        <w:pStyle w:val="BodyText"/>
      </w:pPr>
      <w:r>
        <w:t xml:space="preserve">QATAR DOHA</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ADC-2025-003847</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Hamad Medical Corporation</w:t>
      </w:r>
    </w:p>
    <w:p>
      <w:pPr>
        <w:pStyle w:val="BodyText"/>
      </w:pPr>
      <w:r>
        <w:rPr>
          <w:bCs/>
          <w:b/>
        </w:rPr>
        <w:t xml:space="preserve">Department:</w:t>
      </w:r>
      <w:r>
        <w:t xml:space="preserve"> </w:t>
      </w:r>
      <w:r>
        <w:t xml:space="preserve">Outpatient Pharmacy Services</w:t>
      </w:r>
    </w:p>
    <w:p>
      <w:pPr>
        <w:pStyle w:val="BodyText"/>
      </w:pPr>
      <w:r>
        <w:rPr>
          <w:bCs/>
          <w:b/>
        </w:rPr>
        <w:t xml:space="preserve">Attn:</w:t>
      </w:r>
      <w:r>
        <w:t xml:space="preserve"> </w:t>
      </w:r>
      <w:r>
        <w:t xml:space="preserve">Dr. Khalid Al-Mansoori, Procurement Officer</w:t>
      </w:r>
    </w:p>
    <w:p>
      <w:pPr>
        <w:pStyle w:val="BodyText"/>
      </w:pPr>
      <w:r>
        <w:rPr>
          <w:bCs/>
          <w:b/>
        </w:rPr>
        <w:t xml:space="preserve">Address:</w:t>
      </w:r>
      <w:r>
        <w:t xml:space="preserve"> </w:t>
      </w:r>
      <w:r>
        <w:t xml:space="preserve">P.O. Box 20135, Doha, State of Qatar</w:t>
      </w:r>
    </w:p>
    <w:p>
      <w:pPr>
        <w:pStyle w:val="BodyText"/>
      </w:pPr>
      <w:r>
        <w:rPr>
          <w:bCs/>
          <w:b/>
        </w:rPr>
        <w:t xml:space="preserve">Phone:</w:t>
      </w:r>
      <w:r>
        <w:t xml:space="preserve"> </w:t>
      </w:r>
      <w:r>
        <w:t xml:space="preserve">+974 4422 8800</w:t>
      </w:r>
    </w:p>
    <w:p>
      <w:pPr>
        <w:pStyle w:val="BodyText"/>
      </w:pPr>
      <w:r>
        <w:rPr>
          <w:bCs/>
          <w:b/>
        </w:rPr>
        <w:t xml:space="preserve">Email:</w:t>
      </w:r>
      <w:r>
        <w:t xml:space="preserve"> </w:t>
      </w:r>
      <w:r>
        <w:t xml:space="preserve">procurement@hmc.qa</w:t>
      </w:r>
    </w:p>
    <w:bookmarkEnd w:id="22"/>
    <w:bookmarkStart w:id="23" w:name="invoice-reference"/>
    <w:p>
      <w:pPr>
        <w:pStyle w:val="Heading3"/>
      </w:pPr>
      <w:r>
        <w:t xml:space="preserve">Invoice Reference</w:t>
      </w:r>
    </w:p>
    <w:p>
      <w:pPr>
        <w:pStyle w:val="FirstParagraph"/>
      </w:pPr>
      <w:r>
        <w:rPr>
          <w:bCs/>
          <w:b/>
        </w:rPr>
        <w:t xml:space="preserve">PO Number:</w:t>
      </w:r>
      <w:r>
        <w:t xml:space="preserve"> </w:t>
      </w:r>
      <w:r>
        <w:t xml:space="preserve">HMC-PO-2025-1192</w:t>
      </w:r>
    </w:p>
    <w:p>
      <w:pPr>
        <w:pStyle w:val="BodyText"/>
      </w:pPr>
      <w:r>
        <w:rPr>
          <w:bCs/>
          <w:b/>
        </w:rPr>
        <w:t xml:space="preserve">Order Date:</w:t>
      </w:r>
      <w:r>
        <w:t xml:space="preserve"> </w:t>
      </w:r>
      <w:r>
        <w:t xml:space="preserve">10 June 2025</w:t>
      </w:r>
    </w:p>
    <w:p>
      <w:pPr>
        <w:pStyle w:val="BodyText"/>
      </w:pPr>
      <w:r>
        <w:rPr>
          <w:bCs/>
          <w:b/>
        </w:rPr>
        <w:t xml:space="preserve">Delivery Date:</w:t>
      </w:r>
      <w:r>
        <w:t xml:space="preserve"> </w:t>
      </w:r>
      <w:r>
        <w:t xml:space="preserve">13 June 2025</w:t>
      </w:r>
    </w:p>
    <w:p>
      <w:pPr>
        <w:pStyle w:val="BodyText"/>
      </w:pPr>
      <w:r>
        <w:rPr>
          <w:bCs/>
          <w:b/>
        </w:rPr>
        <w:t xml:space="preserve">Delivery Location:</w:t>
      </w:r>
      <w:r>
        <w:t xml:space="preserve"> </w:t>
      </w:r>
      <w:r>
        <w:t xml:space="preserve">HMC Central Warehouse, Doha, Qatar</w:t>
      </w:r>
    </w:p>
    <w:p>
      <w:pPr>
        <w:pStyle w:val="BodyText"/>
      </w:pPr>
      <w:r>
        <w:rPr>
          <w:bCs/>
          <w:b/>
        </w:rPr>
        <w:t xml:space="preserve">Chemist In Charge:</w:t>
      </w:r>
      <w:r>
        <w:t xml:space="preserve"> </w:t>
      </w:r>
      <w:r>
        <w:t xml:space="preserve">Pharm. Sarah Al-Thani, B.Pharm, M.Pharm</w:t>
      </w:r>
    </w:p>
    <w:p>
      <w:pPr>
        <w:pStyle w:val="BodyText"/>
      </w:pPr>
      <w:r>
        <w:rPr>
          <w:bCs/>
          <w:b/>
        </w:rPr>
        <w:t xml:space="preserve">Delivery Person:</w:t>
      </w:r>
      <w:r>
        <w:t xml:space="preserve"> </w:t>
      </w:r>
      <w:r>
        <w:t xml:space="preserve">Ahmed Hassan</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 Price (QAR)</w:t>
            </w:r>
          </w:p>
        </w:tc>
        <w:tc>
          <w:tcPr/>
          <w:p>
            <w:pPr>
              <w:pStyle w:val="Compact"/>
              <w:jc w:val="left"/>
            </w:pPr>
            <w:r>
              <w:t xml:space="preserve">Amount (QAR)</w:t>
            </w:r>
          </w:p>
        </w:tc>
      </w:tr>
      <w:tr>
        <w:tc>
          <w:tcPr/>
          <w:p>
            <w:pPr>
              <w:pStyle w:val="Compact"/>
              <w:jc w:val="left"/>
            </w:pPr>
            <w:r>
              <w:t xml:space="preserve">001</w:t>
            </w:r>
          </w:p>
        </w:tc>
        <w:tc>
          <w:tcPr/>
          <w:p>
            <w:pPr>
              <w:pStyle w:val="Compact"/>
              <w:jc w:val="left"/>
            </w:pPr>
            <w:r>
              <w:t xml:space="preserve">Amoxicillin 500mg Capsules (28-count blister) – Approved by Ministry of Public Health, Qatar</w:t>
            </w:r>
          </w:p>
        </w:tc>
        <w:tc>
          <w:tcPr/>
          <w:p>
            <w:pPr>
              <w:pStyle w:val="Compact"/>
              <w:jc w:val="left"/>
            </w:pPr>
            <w:r>
              <w:t xml:space="preserve">Antibiotics</w:t>
            </w:r>
          </w:p>
        </w:tc>
        <w:tc>
          <w:tcPr/>
          <w:p>
            <w:pPr>
              <w:pStyle w:val="Compact"/>
              <w:jc w:val="left"/>
            </w:pPr>
            <w:r>
              <w:t xml:space="preserve">250</w:t>
            </w:r>
          </w:p>
        </w:tc>
        <w:tc>
          <w:tcPr/>
          <w:p>
            <w:pPr>
              <w:pStyle w:val="Compact"/>
              <w:jc w:val="left"/>
            </w:pPr>
            <w:r>
              <w:t xml:space="preserve">42.50</w:t>
            </w:r>
          </w:p>
        </w:tc>
        <w:tc>
          <w:tcPr/>
          <w:p>
            <w:pPr>
              <w:pStyle w:val="Compact"/>
              <w:jc w:val="left"/>
            </w:pPr>
            <w:r>
              <w:t xml:space="preserve">10,625.00</w:t>
            </w:r>
          </w:p>
        </w:tc>
      </w:tr>
      <w:tr>
        <w:tc>
          <w:tcPr/>
          <w:p>
            <w:pPr>
              <w:pStyle w:val="Compact"/>
              <w:jc w:val="left"/>
            </w:pPr>
            <w:r>
              <w:t xml:space="preserve">002</w:t>
            </w:r>
          </w:p>
        </w:tc>
        <w:tc>
          <w:tcPr/>
          <w:p>
            <w:pPr>
              <w:pStyle w:val="Compact"/>
              <w:jc w:val="left"/>
            </w:pPr>
            <w:r>
              <w:t xml:space="preserve">Metformin Hydrochloride 850mg Tablets (60-count bottle) – Type 2 Diabetes Management</w:t>
            </w:r>
          </w:p>
        </w:tc>
        <w:tc>
          <w:tcPr/>
          <w:p>
            <w:pPr>
              <w:pStyle w:val="Compact"/>
              <w:jc w:val="left"/>
            </w:pPr>
            <w:r>
              <w:t xml:space="preserve">Antidiabetic</w:t>
            </w:r>
          </w:p>
        </w:tc>
        <w:tc>
          <w:tcPr/>
          <w:p>
            <w:pPr>
              <w:pStyle w:val="Compact"/>
              <w:jc w:val="left"/>
            </w:pPr>
            <w:r>
              <w:t xml:space="preserve">180</w:t>
            </w:r>
          </w:p>
        </w:tc>
        <w:tc>
          <w:tcPr/>
          <w:p>
            <w:pPr>
              <w:pStyle w:val="Compact"/>
              <w:jc w:val="left"/>
            </w:pPr>
            <w:r>
              <w:t xml:space="preserve">38.75</w:t>
            </w:r>
          </w:p>
        </w:tc>
        <w:tc>
          <w:tcPr/>
          <w:p>
            <w:pPr>
              <w:pStyle w:val="Compact"/>
              <w:jc w:val="left"/>
            </w:pPr>
            <w:r>
              <w:t xml:space="preserve">6,975.00</w:t>
            </w:r>
          </w:p>
        </w:tc>
      </w:tr>
      <w:tr>
        <w:tc>
          <w:tcPr/>
          <w:p>
            <w:pPr>
              <w:pStyle w:val="Compact"/>
              <w:jc w:val="left"/>
            </w:pPr>
            <w:r>
              <w:t xml:space="preserve">003</w:t>
            </w:r>
          </w:p>
        </w:tc>
        <w:tc>
          <w:tcPr/>
          <w:p>
            <w:pPr>
              <w:pStyle w:val="Compact"/>
              <w:jc w:val="left"/>
            </w:pPr>
            <w:r>
              <w:t xml:space="preserve">Omeprazole 20mg Enteric-Coated Capsules (30-count) – Gastrointestinal</w:t>
            </w:r>
          </w:p>
        </w:tc>
        <w:tc>
          <w:tcPr/>
          <w:p>
            <w:pPr>
              <w:pStyle w:val="Compact"/>
              <w:jc w:val="left"/>
            </w:pPr>
            <w:r>
              <w:t xml:space="preserve">Gastrointestinal</w:t>
            </w:r>
          </w:p>
        </w:tc>
        <w:tc>
          <w:tcPr/>
          <w:p>
            <w:pPr>
              <w:pStyle w:val="Compact"/>
              <w:jc w:val="left"/>
            </w:pPr>
            <w:r>
              <w:t xml:space="preserve">320</w:t>
            </w:r>
          </w:p>
        </w:tc>
        <w:tc>
          <w:tcPr/>
          <w:p>
            <w:pPr>
              <w:pStyle w:val="Compact"/>
              <w:jc w:val="left"/>
            </w:pPr>
            <w:r>
              <w:t xml:space="preserve">28.00</w:t>
            </w:r>
          </w:p>
        </w:tc>
        <w:tc>
          <w:tcPr/>
          <w:p>
            <w:pPr>
              <w:pStyle w:val="Compact"/>
              <w:jc w:val="left"/>
            </w:pPr>
            <w:r>
              <w:t xml:space="preserve">8,960.00</w:t>
            </w:r>
          </w:p>
        </w:tc>
      </w:tr>
      <w:tr>
        <w:tc>
          <w:tcPr/>
          <w:p>
            <w:pPr>
              <w:pStyle w:val="Compact"/>
              <w:jc w:val="left"/>
            </w:pPr>
            <w:r>
              <w:t xml:space="preserve">004</w:t>
            </w:r>
          </w:p>
        </w:tc>
        <w:tc>
          <w:tcPr/>
          <w:p>
            <w:pPr>
              <w:pStyle w:val="Compact"/>
              <w:jc w:val="left"/>
            </w:pPr>
            <w:r>
              <w:t xml:space="preserve">Salbutamol 100mcg Inhaler (200 doses) – Respiratory / Asthma Treatment</w:t>
            </w:r>
          </w:p>
        </w:tc>
        <w:tc>
          <w:tcPr/>
          <w:p>
            <w:pPr>
              <w:pStyle w:val="Compact"/>
              <w:jc w:val="left"/>
            </w:pPr>
            <w:r>
              <w:t xml:space="preserve">Respiratory</w:t>
            </w:r>
          </w:p>
        </w:tc>
        <w:tc>
          <w:tcPr/>
          <w:p>
            <w:pPr>
              <w:pStyle w:val="Compact"/>
              <w:jc w:val="left"/>
            </w:pPr>
            <w:r>
              <w:t xml:space="preserve">150</w:t>
            </w:r>
          </w:p>
        </w:tc>
        <w:tc>
          <w:tcPr/>
          <w:p>
            <w:pPr>
              <w:pStyle w:val="Compact"/>
              <w:jc w:val="left"/>
            </w:pPr>
            <w:r>
              <w:t xml:space="preserve">55.25</w:t>
            </w:r>
          </w:p>
        </w:tc>
        <w:tc>
          <w:tcPr/>
          <w:p>
            <w:pPr>
              <w:pStyle w:val="Compact"/>
              <w:jc w:val="left"/>
            </w:pPr>
            <w:r>
              <w:t xml:space="preserve">8,287.50</w:t>
            </w:r>
          </w:p>
        </w:tc>
      </w:tr>
      <w:tr>
        <w:tc>
          <w:tcPr/>
          <w:p>
            <w:pPr>
              <w:pStyle w:val="Compact"/>
              <w:jc w:val="left"/>
            </w:pPr>
            <w:r>
              <w:t xml:space="preserve">005</w:t>
            </w:r>
          </w:p>
        </w:tc>
        <w:tc>
          <w:tcPr/>
          <w:p>
            <w:pPr>
              <w:pStyle w:val="Compact"/>
              <w:jc w:val="left"/>
            </w:pPr>
            <w:r>
              <w:t xml:space="preserve">Paracetamol 500mg Tablets (100-count strip) – Analgesic / Antipyretic</w:t>
            </w:r>
          </w:p>
        </w:tc>
        <w:tc>
          <w:tcPr/>
          <w:p>
            <w:pPr>
              <w:pStyle w:val="Compact"/>
              <w:jc w:val="left"/>
            </w:pPr>
            <w:r>
              <w:t xml:space="preserve">Analgesics</w:t>
            </w:r>
          </w:p>
        </w:tc>
        <w:tc>
          <w:tcPr/>
          <w:p>
            <w:pPr>
              <w:pStyle w:val="Compact"/>
              <w:jc w:val="left"/>
            </w:pPr>
            <w:r>
              <w:t xml:space="preserve">500</w:t>
            </w:r>
          </w:p>
        </w:tc>
        <w:tc>
          <w:tcPr/>
          <w:p>
            <w:pPr>
              <w:pStyle w:val="Compact"/>
              <w:jc w:val="left"/>
            </w:pPr>
            <w:r>
              <w:t xml:space="preserve">12.00</w:t>
            </w:r>
          </w:p>
        </w:tc>
        <w:tc>
          <w:tcPr/>
          <w:p>
            <w:pPr>
              <w:pStyle w:val="Compact"/>
              <w:jc w:val="left"/>
            </w:pPr>
            <w:r>
              <w:t xml:space="preserve">6,000.00</w:t>
            </w:r>
          </w:p>
        </w:tc>
      </w:tr>
      <w:tr>
        <w:tc>
          <w:tcPr/>
          <w:p>
            <w:pPr>
              <w:pStyle w:val="Compact"/>
              <w:jc w:val="left"/>
            </w:pPr>
            <w:r>
              <w:t xml:space="preserve">006</w:t>
            </w:r>
          </w:p>
        </w:tc>
        <w:tc>
          <w:tcPr/>
          <w:p>
            <w:pPr>
              <w:pStyle w:val="Compact"/>
              <w:jc w:val="left"/>
            </w:pPr>
            <w:r>
              <w:t xml:space="preserve">Insulin Glargine 100 IU/mL Pen (3ml) – Cold Chain Shipped, Qatar MOPH Approved</w:t>
            </w:r>
          </w:p>
        </w:tc>
        <w:tc>
          <w:tcPr/>
          <w:p>
            <w:pPr>
              <w:pStyle w:val="Compact"/>
              <w:jc w:val="left"/>
            </w:pPr>
            <w:r>
              <w:t xml:space="preserve">Antidiabetic (Injectable)</w:t>
            </w:r>
          </w:p>
        </w:tc>
        <w:tc>
          <w:tcPr/>
          <w:p>
            <w:pPr>
              <w:pStyle w:val="Compact"/>
              <w:jc w:val="left"/>
            </w:pPr>
            <w:r>
              <w:t xml:space="preserve">80</w:t>
            </w:r>
          </w:p>
        </w:tc>
        <w:tc>
          <w:tcPr/>
          <w:p>
            <w:pPr>
              <w:pStyle w:val="Compact"/>
              <w:jc w:val="left"/>
            </w:pPr>
            <w:r>
              <w:t xml:space="preserve">185.00</w:t>
            </w:r>
          </w:p>
        </w:tc>
        <w:tc>
          <w:tcPr/>
          <w:p>
            <w:pPr>
              <w:pStyle w:val="Compact"/>
              <w:jc w:val="left"/>
            </w:pPr>
            <w:r>
              <w:t xml:space="preserve">14,800.00</w:t>
            </w:r>
          </w:p>
        </w:tc>
      </w:tr>
      <w:tr>
        <w:tc>
          <w:tcPr/>
          <w:p>
            <w:pPr>
              <w:pStyle w:val="Compact"/>
              <w:jc w:val="left"/>
            </w:pPr>
            <w:r>
              <w:t xml:space="preserve">007</w:t>
            </w:r>
          </w:p>
        </w:tc>
        <w:tc>
          <w:tcPr/>
          <w:p>
            <w:pPr>
              <w:pStyle w:val="Compact"/>
              <w:jc w:val="left"/>
            </w:pPr>
            <w:r>
              <w:t xml:space="preserve">Pharmaceutical Compounding Service – Custom Pediatric Formulations (per batch)</w:t>
            </w:r>
          </w:p>
        </w:tc>
        <w:tc>
          <w:tcPr/>
          <w:p>
            <w:pPr>
              <w:pStyle w:val="Compact"/>
              <w:jc w:val="left"/>
            </w:pPr>
            <w:r>
              <w:t xml:space="preserve">Chemist Service</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008</w:t>
            </w:r>
          </w:p>
        </w:tc>
        <w:tc>
          <w:tcPr/>
          <w:p>
            <w:pPr>
              <w:pStyle w:val="Compact"/>
              <w:jc w:val="left"/>
            </w:pPr>
            <w:r>
              <w:t xml:space="preserve">Delivery &amp; Cold Chain Logistics within Doha Metro Area, State of Qatar</w:t>
            </w:r>
          </w:p>
        </w:tc>
        <w:tc>
          <w:tcPr/>
          <w:p>
            <w:pPr>
              <w:pStyle w:val="Compact"/>
              <w:jc w:val="left"/>
            </w:pPr>
            <w:r>
              <w:t xml:space="preserve">Logistics</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QAR 59,097.50</w:t>
            </w:r>
          </w:p>
        </w:tc>
      </w:tr>
      <w:tr>
        <w:tc>
          <w:tcPr/>
          <w:p>
            <w:pPr>
              <w:pStyle w:val="Compact"/>
              <w:jc w:val="left"/>
            </w:pPr>
            <w:r>
              <w:t xml:space="preserve">VAT (5% – State of Qatar)</w:t>
            </w:r>
          </w:p>
        </w:tc>
        <w:tc>
          <w:tcPr/>
          <w:p>
            <w:pPr>
              <w:pStyle w:val="Compact"/>
              <w:jc w:val="left"/>
            </w:pPr>
            <w:r>
              <w:t xml:space="preserve">QAR 2,954.88</w:t>
            </w:r>
          </w:p>
        </w:tc>
      </w:tr>
      <w:tr>
        <w:tc>
          <w:tcPr/>
          <w:p>
            <w:pPr>
              <w:pStyle w:val="Compact"/>
              <w:jc w:val="left"/>
            </w:pPr>
            <w:r>
              <w:t xml:space="preserve">Discount (Corporate Agreement 3%)</w:t>
            </w:r>
          </w:p>
        </w:tc>
        <w:tc>
          <w:tcPr/>
          <w:p>
            <w:pPr>
              <w:pStyle w:val="Compact"/>
              <w:jc w:val="left"/>
            </w:pPr>
            <w:r>
              <w:t xml:space="preserve">- QAR 1,772.93</w:t>
            </w:r>
          </w:p>
        </w:tc>
      </w:tr>
      <w:tr>
        <w:tc>
          <w:tcPr/>
          <w:p>
            <w:pPr>
              <w:pStyle w:val="Compact"/>
              <w:jc w:val="left"/>
            </w:pPr>
            <w:r>
              <w:t xml:space="preserve">Grand Total</w:t>
            </w:r>
          </w:p>
        </w:tc>
        <w:tc>
          <w:tcPr/>
          <w:p>
            <w:pPr>
              <w:pStyle w:val="Compact"/>
              <w:jc w:val="left"/>
            </w:pPr>
            <w:r>
              <w:t xml:space="preserve">QAR 60,279.45</w:t>
            </w:r>
          </w:p>
        </w:tc>
      </w:tr>
    </w:tbl>
    <w:bookmarkStart w:id="24" w:name="notes-terms-of-this-invoice"/>
    <w:p>
      <w:pPr>
        <w:pStyle w:val="Heading3"/>
      </w:pPr>
      <w:r>
        <w:t xml:space="preserve">Notes &amp; Terms of This Invoice</w:t>
      </w:r>
    </w:p>
    <w:p>
      <w:pPr>
        <w:pStyle w:val="FirstParagraph"/>
      </w:pPr>
      <w:r>
        <w:t xml:space="preserve">This invoice is issued by</w:t>
      </w:r>
      <w:r>
        <w:t xml:space="preserve"> </w:t>
      </w:r>
      <w:r>
        <w:rPr>
          <w:bCs/>
          <w:b/>
        </w:rPr>
        <w:t xml:space="preserve">Al Doha Chemist &amp; Pharmacy</w:t>
      </w:r>
      <w:r>
        <w:t xml:space="preserve">, a licensed and regulated chemist operating under the supervision of the Ministry of Public Health in the State of Qatar. All pharmaceutical products listed herein have been sourced from authorized distributors and comply with the regulatory standards set forth by the Qatar Medicines and Medical Devices Regulatory Authority (QMDRA).</w:t>
      </w:r>
    </w:p>
    <w:p>
      <w:pPr>
        <w:numPr>
          <w:ilvl w:val="0"/>
          <w:numId w:val="1001"/>
        </w:numPr>
        <w:pStyle w:val="Compact"/>
      </w:pPr>
      <w:r>
        <w:t xml:space="preserve">All medications dispensed and invoiced by this chemist in Doha, Qatar are subject to the Qatar Pharmaceutical Law and its amendments. Controlled substances are handled in strict accordance with QMDRA protocols.</w:t>
      </w:r>
    </w:p>
    <w:p>
      <w:pPr>
        <w:numPr>
          <w:ilvl w:val="0"/>
          <w:numId w:val="1001"/>
        </w:numPr>
        <w:pStyle w:val="Compact"/>
      </w:pPr>
      <w:r>
        <w:t xml:space="preserve">Payment is due within fifteen (15) calendar days from the date of this invoice. Late payments shall incur a penalty of 1.5% per month as per commercial regulations in the State of Qatar.</w:t>
      </w:r>
    </w:p>
    <w:p>
      <w:pPr>
        <w:numPr>
          <w:ilvl w:val="0"/>
          <w:numId w:val="1001"/>
        </w:numPr>
        <w:pStyle w:val="Compact"/>
      </w:pPr>
      <w:r>
        <w:t xml:space="preserve">Cold chain items (Item 006) must be stored at 2°C to 8°C upon receipt. Any temperature excursion must be reported to our chemist team within 24 hours for quality assurance review.</w:t>
      </w:r>
    </w:p>
    <w:p>
      <w:pPr>
        <w:numPr>
          <w:ilvl w:val="0"/>
          <w:numId w:val="1001"/>
        </w:numPr>
        <w:pStyle w:val="Compact"/>
      </w:pPr>
      <w:r>
        <w:t xml:space="preserve">This invoice is valid for a period of ninety (90) days from the date of issue. After this period, the pricing and availability of items may be subject to revision based on supplier contracts and QMDRA regulatory updates.</w:t>
      </w:r>
    </w:p>
    <w:p>
      <w:pPr>
        <w:numPr>
          <w:ilvl w:val="0"/>
          <w:numId w:val="1001"/>
        </w:numPr>
        <w:pStyle w:val="Compact"/>
      </w:pPr>
      <w:r>
        <w:t xml:space="preserve">For any discrepancies in quantity, product integrity, or billing, please contact our billing department at Al Doha Chemist &amp; Pharmacy within five (5) business days of receipt. Our chemist staff will conduct a full reconciliation.</w:t>
      </w:r>
    </w:p>
    <w:p>
      <w:pPr>
        <w:numPr>
          <w:ilvl w:val="0"/>
          <w:numId w:val="1001"/>
        </w:numPr>
        <w:pStyle w:val="Compact"/>
      </w:pPr>
      <w:r>
        <w:t xml:space="preserve">All transactions are processed in Qatari Riyal (QAR). International wire transfers are accepted with a 2% currency conversion surcharge applied by the receiving bank in Doha.</w:t>
      </w:r>
    </w:p>
    <w:p>
      <w:pPr>
        <w:pStyle w:val="FirstParagraph"/>
      </w:pPr>
      <w:r>
        <w:rPr>
          <w:bCs/>
          <w:b/>
        </w:rPr>
        <w:t xml:space="preserve">Payment Methods Accepted:</w:t>
      </w:r>
      <w:r>
        <w:t xml:space="preserve"> </w:t>
      </w:r>
      <w:r>
        <w:t xml:space="preserve">Bank Transfer (QNB, Commercial Bank of Qatar, Doha Bank) | Cheque (payable to Al Doha Chemist &amp; Pharmacy) | Corporate Credit Card</w:t>
      </w:r>
    </w:p>
    <w:p>
      <w:pPr>
        <w:pStyle w:val="BodyText"/>
      </w:pPr>
      <w:r>
        <w:rPr>
          <w:bCs/>
          <w:b/>
        </w:rPr>
        <w:t xml:space="preserve">Bank Details:</w:t>
      </w:r>
      <w:r>
        <w:t xml:space="preserve"> </w:t>
      </w:r>
      <w:r>
        <w:t xml:space="preserve">QNB – Account Name: Al Doha Chemist &amp; Pharmacy LLC – IBAN: QA58 QNB0 0000 1234 5678 9012 3456</w:t>
      </w:r>
    </w:p>
    <w:bookmarkEnd w:id="24"/>
    <w:p>
      <w:pPr>
        <w:pStyle w:val="BodyText"/>
      </w:pPr>
      <w:r>
        <w:rPr>
          <w:bCs/>
          <w:b/>
        </w:rPr>
        <w:t xml:space="preserve">Al Doha Chemist &amp; Pharmacy LLC</w:t>
      </w:r>
      <w:r>
        <w:t xml:space="preserve"> </w:t>
      </w:r>
      <w:r>
        <w:t xml:space="preserve">| Building 14, Street 21, Zone 32, Al Sadd, Doha, State of Qatar</w:t>
      </w:r>
    </w:p>
    <w:p>
      <w:pPr>
        <w:pStyle w:val="BodyText"/>
      </w:pPr>
      <w:r>
        <w:t xml:space="preserve">Ministry of Public Health License: QP-2024-08847 | Commercial Registration: CR-2019-44521 | VAT: QV-3098-7721-4456</w:t>
      </w:r>
    </w:p>
    <w:p>
      <w:pPr>
        <w:pStyle w:val="BodyText"/>
      </w:pPr>
      <w:r>
        <w:t xml:space="preserve">This invoice was generated electronically and is valid without a physical signature. For verification, contact our billing office in Doha, Qatar at +974 4455 6677.</w:t>
      </w:r>
    </w:p>
    <w:p>
      <w:pPr>
        <w:pStyle w:val="BodyText"/>
      </w:pPr>
      <w:r>
        <w:t xml:space="preserve">© 2025 Al Doha Chemist &amp; Pharmacy. All rights reserved. This document is the property of the issuing chemist in Doha, Qatar and may not be reproduced without written consent.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Al Doha Chemist &amp; Pharmacy</dc:title>
  <dc:creator/>
  <dc:language>en</dc:language>
  <cp:keywords/>
  <dcterms:created xsi:type="dcterms:W3CDTF">2026-10-10T01:50:28Z</dcterms:created>
  <dcterms:modified xsi:type="dcterms:W3CDTF">2026-10-10T01:50:28Z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