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Al-Shifa</w:t>
      </w:r>
      <w:r>
        <w:t xml:space="preserve"> </w:t>
      </w:r>
      <w:r>
        <w:t xml:space="preserve">Chemist,</w:t>
      </w:r>
      <w:r>
        <w:t xml:space="preserve"> </w:t>
      </w:r>
      <w:r>
        <w:t xml:space="preserve">Jeddah,</w:t>
      </w:r>
      <w:r>
        <w:t xml:space="preserve"> </w:t>
      </w:r>
      <w:r>
        <w:t xml:space="preserve">Saudi</w:t>
      </w:r>
      <w:r>
        <w:t xml:space="preserve"> </w:t>
      </w:r>
      <w:r>
        <w:t xml:space="preserve">Arabia</w:t>
      </w:r>
    </w:p>
    <w:bookmarkStart w:id="20" w:name="al-shifa-chemist-pharmacy"/>
    <w:p>
      <w:pPr>
        <w:pStyle w:val="Heading1"/>
      </w:pPr>
      <w:r>
        <w:t xml:space="preserve">Al-Shifa Chemist &amp; Pharmacy</w:t>
      </w:r>
    </w:p>
    <w:p>
      <w:pPr>
        <w:pStyle w:val="FirstParagraph"/>
      </w:pPr>
      <w:r>
        <w:t xml:space="preserve">CR No: 1010456789 | VAT Registration: 310123456700003</w:t>
      </w:r>
    </w:p>
    <w:p>
      <w:pPr>
        <w:pStyle w:val="BodyText"/>
      </w:pPr>
      <w:r>
        <w:t xml:space="preserve">Al Balad District, Jeddah 21442, Saudi Arabia</w:t>
      </w:r>
    </w:p>
    <w:p>
      <w:pPr>
        <w:pStyle w:val="BodyText"/>
      </w:pPr>
      <w:r>
        <w:t xml:space="preserve">Tel: +966 12 654 3210 | Email: billing@alshifachemist.sa</w:t>
      </w:r>
    </w:p>
    <w:p>
      <w:pPr>
        <w:pStyle w:val="BodyText"/>
      </w:pPr>
      <w:r>
        <w:t xml:space="preserve">Ministry of Health License: MOH-2024-JED-08921</w:t>
      </w:r>
    </w:p>
    <w:bookmarkEnd w:id="20"/>
    <w:bookmarkStart w:id="21" w:name="invoice"/>
    <w:p>
      <w:pPr>
        <w:pStyle w:val="Heading2"/>
      </w:pPr>
      <w:r>
        <w:t xml:space="preserve">INVOICE</w:t>
      </w:r>
    </w:p>
    <w:p>
      <w:pPr>
        <w:pStyle w:val="FirstParagraph"/>
      </w:pPr>
      <w:r>
        <w:t xml:space="preserve">Invoice No: INV-2025-04-08832</w:t>
      </w:r>
    </w:p>
    <w:p>
      <w:pPr>
        <w:pStyle w:val="BodyText"/>
      </w:pPr>
      <w:r>
        <w:t xml:space="preserve">Date: 14 June 2025</w:t>
      </w:r>
    </w:p>
    <w:p>
      <w:pPr>
        <w:pStyle w:val="BodyText"/>
      </w:pPr>
      <w:r>
        <w:t xml:space="preserve">Due Date: 28 June 2025</w:t>
      </w:r>
    </w:p>
    <w:p>
      <w:pPr>
        <w:pStyle w:val="BodyText"/>
      </w:pPr>
      <w:r>
        <w:t xml:space="preserve">VAT Registered</w:t>
      </w:r>
    </w:p>
    <w:bookmarkEnd w:id="21"/>
    <w:bookmarkStart w:id="22" w:name="billed-to"/>
    <w:p>
      <w:pPr>
        <w:pStyle w:val="Heading3"/>
      </w:pPr>
      <w:r>
        <w:t xml:space="preserve">Billed To</w:t>
      </w:r>
    </w:p>
    <w:p>
      <w:pPr>
        <w:pStyle w:val="FirstParagraph"/>
      </w:pPr>
      <w:r>
        <w:rPr>
          <w:bCs/>
          <w:b/>
        </w:rPr>
        <w:t xml:space="preserve">Al-Nakheel Medical Center</w:t>
      </w:r>
    </w:p>
    <w:p>
      <w:pPr>
        <w:pStyle w:val="BodyText"/>
      </w:pPr>
      <w:r>
        <w:t xml:space="preserve">Attn: Dr. Khalid Al-Rashid, Procurement Manager</w:t>
      </w:r>
    </w:p>
    <w:p>
      <w:pPr>
        <w:pStyle w:val="BodyText"/>
      </w:pPr>
      <w:r>
        <w:t xml:space="preserve">King Fahd Road, Jeddah 21589, Saudi Arabia</w:t>
      </w:r>
    </w:p>
    <w:p>
      <w:pPr>
        <w:pStyle w:val="BodyText"/>
      </w:pPr>
      <w:r>
        <w:t xml:space="preserve">VAT No: 310987654300003</w:t>
      </w:r>
    </w:p>
    <w:p>
      <w:pPr>
        <w:pStyle w:val="BodyText"/>
      </w:pPr>
      <w:r>
        <w:t xml:space="preserve">Tel: +966 12 555 7890</w:t>
      </w:r>
    </w:p>
    <w:bookmarkEnd w:id="22"/>
    <w:bookmarkStart w:id="23" w:name="invoice-details"/>
    <w:p>
      <w:pPr>
        <w:pStyle w:val="Heading3"/>
      </w:pPr>
      <w:r>
        <w:t xml:space="preserve">Invoice Details</w:t>
      </w:r>
    </w:p>
    <w:p>
      <w:pPr>
        <w:pStyle w:val="FirstParagraph"/>
      </w:pPr>
      <w:r>
        <w:rPr>
          <w:bCs/>
          <w:b/>
        </w:rPr>
        <w:t xml:space="preserve">Payment Terms:</w:t>
      </w:r>
      <w:r>
        <w:t xml:space="preserve"> </w:t>
      </w:r>
      <w:r>
        <w:t xml:space="preserve">Net 14 Days</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Al Rajhi Bank</w:t>
      </w:r>
    </w:p>
    <w:p>
      <w:pPr>
        <w:pStyle w:val="BodyText"/>
      </w:pPr>
      <w:r>
        <w:rPr>
          <w:bCs/>
          <w:b/>
        </w:rPr>
        <w:t xml:space="preserve">IBAN:</w:t>
      </w:r>
      <w:r>
        <w:t xml:space="preserve"> </w:t>
      </w:r>
      <w:r>
        <w:t xml:space="preserve">SA03 8000 0000 6080 1016 7519</w:t>
      </w:r>
    </w:p>
    <w:p>
      <w:pPr>
        <w:pStyle w:val="BodyText"/>
      </w:pPr>
      <w:r>
        <w:rPr>
          <w:bCs/>
          <w:b/>
        </w:rPr>
        <w:t xml:space="preserve">Reference:</w:t>
      </w:r>
      <w:r>
        <w:t xml:space="preserve"> </w:t>
      </w:r>
      <w:r>
        <w:t xml:space="preserve">PO-2025-06-1147</w:t>
      </w:r>
    </w:p>
    <w:bookmarkEnd w:id="23"/>
    <w:bookmarkStart w:id="24" w:name="order-information"/>
    <w:p>
      <w:pPr>
        <w:pStyle w:val="Heading3"/>
      </w:pPr>
      <w:r>
        <w:t xml:space="preserve">Order Information</w:t>
      </w:r>
    </w:p>
    <w:p>
      <w:pPr>
        <w:pStyle w:val="FirstParagraph"/>
      </w:pPr>
      <w:r>
        <w:rPr>
          <w:bCs/>
          <w:b/>
        </w:rPr>
        <w:t xml:space="preserve">Order Date:</w:t>
      </w:r>
      <w:r>
        <w:t xml:space="preserve"> </w:t>
      </w:r>
      <w:r>
        <w:t xml:space="preserve">12 June 2025</w:t>
      </w:r>
    </w:p>
    <w:p>
      <w:pPr>
        <w:pStyle w:val="BodyText"/>
      </w:pPr>
      <w:r>
        <w:rPr>
          <w:bCs/>
          <w:b/>
        </w:rPr>
        <w:t xml:space="preserve">Delivery Date:</w:t>
      </w:r>
      <w:r>
        <w:t xml:space="preserve"> </w:t>
      </w:r>
      <w:r>
        <w:t xml:space="preserve">13 June 2025</w:t>
      </w:r>
    </w:p>
    <w:p>
      <w:pPr>
        <w:pStyle w:val="BodyText"/>
      </w:pPr>
      <w:r>
        <w:rPr>
          <w:bCs/>
          <w:b/>
        </w:rPr>
        <w:t xml:space="preserve">Delivery Address:</w:t>
      </w:r>
      <w:r>
        <w:t xml:space="preserve"> </w:t>
      </w:r>
      <w:r>
        <w:t xml:space="preserve">Al-Nakheel Medical Center, Jeddah</w:t>
      </w:r>
    </w:p>
    <w:p>
      <w:pPr>
        <w:pStyle w:val="BodyText"/>
      </w:pPr>
      <w:r>
        <w:rPr>
          <w:bCs/>
          <w:b/>
        </w:rPr>
        <w:t xml:space="preserve">Delivery Status:</w:t>
      </w:r>
      <w:r>
        <w:t xml:space="preserve"> </w:t>
      </w:r>
      <w:r>
        <w:t xml:space="preserve">Delivered &amp; Received</w:t>
      </w:r>
    </w:p>
    <w:p>
      <w:pPr>
        <w:pStyle w:val="BodyText"/>
      </w:pPr>
      <w:r>
        <w:rPr>
          <w:bCs/>
          <w:b/>
        </w:rPr>
        <w:t xml:space="preserve">Chemist Representative:</w:t>
      </w:r>
      <w:r>
        <w:t xml:space="preserve"> </w:t>
      </w:r>
      <w:r>
        <w:t xml:space="preserve">Pharm. Sarah Al-Otaibi</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Pharmaceutical Product</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Amoxicillin 500mg Capsules (21 caps) – Antibiotic, prescription dispensed per MOH guidelines</w:t>
            </w:r>
          </w:p>
        </w:tc>
        <w:tc>
          <w:tcPr/>
          <w:p>
            <w:pPr>
              <w:pStyle w:val="Compact"/>
              <w:jc w:val="left"/>
            </w:pPr>
            <w:r>
              <w:t xml:space="preserve">CHM-AMX-500</w:t>
            </w:r>
          </w:p>
        </w:tc>
        <w:tc>
          <w:tcPr/>
          <w:p>
            <w:pPr>
              <w:pStyle w:val="Compact"/>
              <w:jc w:val="left"/>
            </w:pPr>
            <w:r>
              <w:t xml:space="preserve">250</w:t>
            </w:r>
          </w:p>
        </w:tc>
        <w:tc>
          <w:tcPr/>
          <w:p>
            <w:pPr>
              <w:pStyle w:val="Compact"/>
              <w:jc w:val="left"/>
            </w:pPr>
            <w:r>
              <w:t xml:space="preserve">18.50</w:t>
            </w:r>
          </w:p>
        </w:tc>
        <w:tc>
          <w:tcPr/>
          <w:p>
            <w:pPr>
              <w:pStyle w:val="Compact"/>
              <w:jc w:val="left"/>
            </w:pPr>
            <w:r>
              <w:t xml:space="preserve">4,625.00</w:t>
            </w:r>
          </w:p>
        </w:tc>
      </w:tr>
      <w:tr>
        <w:tc>
          <w:tcPr/>
          <w:p>
            <w:pPr>
              <w:pStyle w:val="Compact"/>
              <w:jc w:val="left"/>
            </w:pPr>
            <w:r>
              <w:t xml:space="preserve">2</w:t>
            </w:r>
          </w:p>
        </w:tc>
        <w:tc>
          <w:tcPr/>
          <w:p>
            <w:pPr>
              <w:pStyle w:val="Compact"/>
              <w:jc w:val="left"/>
            </w:pPr>
            <w:r>
              <w:t xml:space="preserve">Ibuprofen 400mg Tablets (30 tabs) – NSAID analgesic, over-the-counter chemist supply</w:t>
            </w:r>
          </w:p>
        </w:tc>
        <w:tc>
          <w:tcPr/>
          <w:p>
            <w:pPr>
              <w:pStyle w:val="Compact"/>
              <w:jc w:val="left"/>
            </w:pPr>
            <w:r>
              <w:t xml:space="preserve">CHM-IBU-400</w:t>
            </w:r>
          </w:p>
        </w:tc>
        <w:tc>
          <w:tcPr/>
          <w:p>
            <w:pPr>
              <w:pStyle w:val="Compact"/>
              <w:jc w:val="left"/>
            </w:pPr>
            <w:r>
              <w:t xml:space="preserve">500</w:t>
            </w:r>
          </w:p>
        </w:tc>
        <w:tc>
          <w:tcPr/>
          <w:p>
            <w:pPr>
              <w:pStyle w:val="Compact"/>
              <w:jc w:val="left"/>
            </w:pPr>
            <w:r>
              <w:t xml:space="preserve">12.75</w:t>
            </w:r>
          </w:p>
        </w:tc>
        <w:tc>
          <w:tcPr/>
          <w:p>
            <w:pPr>
              <w:pStyle w:val="Compact"/>
              <w:jc w:val="left"/>
            </w:pPr>
            <w:r>
              <w:t xml:space="preserve">6,375.00</w:t>
            </w:r>
          </w:p>
        </w:tc>
      </w:tr>
      <w:tr>
        <w:tc>
          <w:tcPr/>
          <w:p>
            <w:pPr>
              <w:pStyle w:val="Compact"/>
              <w:jc w:val="left"/>
            </w:pPr>
            <w:r>
              <w:t xml:space="preserve">3</w:t>
            </w:r>
          </w:p>
        </w:tc>
        <w:tc>
          <w:tcPr/>
          <w:p>
            <w:pPr>
              <w:pStyle w:val="Compact"/>
              <w:jc w:val="left"/>
            </w:pPr>
            <w:r>
              <w:t xml:space="preserve">Insulin Glargine 100 IU/mL Pen (3 mL) – Cold-chain pharmaceutical, refrigerated delivery</w:t>
            </w:r>
          </w:p>
        </w:tc>
        <w:tc>
          <w:tcPr/>
          <w:p>
            <w:pPr>
              <w:pStyle w:val="Compact"/>
              <w:jc w:val="left"/>
            </w:pPr>
            <w:r>
              <w:t xml:space="preserve">CHM-INS-GLA</w:t>
            </w:r>
          </w:p>
        </w:tc>
        <w:tc>
          <w:tcPr/>
          <w:p>
            <w:pPr>
              <w:pStyle w:val="Compact"/>
              <w:jc w:val="left"/>
            </w:pPr>
            <w:r>
              <w:t xml:space="preserve">80</w:t>
            </w:r>
          </w:p>
        </w:tc>
        <w:tc>
          <w:tcPr/>
          <w:p>
            <w:pPr>
              <w:pStyle w:val="Compact"/>
              <w:jc w:val="left"/>
            </w:pPr>
            <w:r>
              <w:t xml:space="preserve">145.00</w:t>
            </w:r>
          </w:p>
        </w:tc>
        <w:tc>
          <w:tcPr/>
          <w:p>
            <w:pPr>
              <w:pStyle w:val="Compact"/>
              <w:jc w:val="left"/>
            </w:pPr>
            <w:r>
              <w:t xml:space="preserve">11,600.00</w:t>
            </w:r>
          </w:p>
        </w:tc>
      </w:tr>
      <w:tr>
        <w:tc>
          <w:tcPr/>
          <w:p>
            <w:pPr>
              <w:pStyle w:val="Compact"/>
              <w:jc w:val="left"/>
            </w:pPr>
            <w:r>
              <w:t xml:space="preserve">4</w:t>
            </w:r>
          </w:p>
        </w:tc>
        <w:tc>
          <w:tcPr/>
          <w:p>
            <w:pPr>
              <w:pStyle w:val="Compact"/>
              <w:jc w:val="left"/>
            </w:pPr>
            <w:r>
              <w:t xml:space="preserve">Salbutamol Inhaler 100mcg (200 doses) – Bronchodilator, chemist-verified expiry batch</w:t>
            </w:r>
          </w:p>
        </w:tc>
        <w:tc>
          <w:tcPr/>
          <w:p>
            <w:pPr>
              <w:pStyle w:val="Compact"/>
              <w:jc w:val="left"/>
            </w:pPr>
            <w:r>
              <w:t xml:space="preserve">CHM-SAL-100</w:t>
            </w:r>
          </w:p>
        </w:tc>
        <w:tc>
          <w:tcPr/>
          <w:p>
            <w:pPr>
              <w:pStyle w:val="Compact"/>
              <w:jc w:val="left"/>
            </w:pPr>
            <w:r>
              <w:t xml:space="preserve">120</w:t>
            </w:r>
          </w:p>
        </w:tc>
        <w:tc>
          <w:tcPr/>
          <w:p>
            <w:pPr>
              <w:pStyle w:val="Compact"/>
              <w:jc w:val="left"/>
            </w:pPr>
            <w:r>
              <w:t xml:space="preserve">38.00</w:t>
            </w:r>
          </w:p>
        </w:tc>
        <w:tc>
          <w:tcPr/>
          <w:p>
            <w:pPr>
              <w:pStyle w:val="Compact"/>
              <w:jc w:val="left"/>
            </w:pPr>
            <w:r>
              <w:t xml:space="preserve">4,560.00</w:t>
            </w:r>
          </w:p>
        </w:tc>
      </w:tr>
      <w:tr>
        <w:tc>
          <w:tcPr/>
          <w:p>
            <w:pPr>
              <w:pStyle w:val="Compact"/>
              <w:jc w:val="left"/>
            </w:pPr>
            <w:r>
              <w:t xml:space="preserve">5</w:t>
            </w:r>
          </w:p>
        </w:tc>
        <w:tc>
          <w:tcPr/>
          <w:p>
            <w:pPr>
              <w:pStyle w:val="Compact"/>
              <w:jc w:val="left"/>
            </w:pPr>
            <w:r>
              <w:t xml:space="preserve">Oral Rehydration Salts (ORS) Sachets (20 sachets) – WHO-formulated, Saudi FDA approved</w:t>
            </w:r>
          </w:p>
        </w:tc>
        <w:tc>
          <w:tcPr/>
          <w:p>
            <w:pPr>
              <w:pStyle w:val="Compact"/>
              <w:jc w:val="left"/>
            </w:pPr>
            <w:r>
              <w:t xml:space="preserve">CHM-ORS-20</w:t>
            </w:r>
          </w:p>
        </w:tc>
        <w:tc>
          <w:tcPr/>
          <w:p>
            <w:pPr>
              <w:pStyle w:val="Compact"/>
              <w:jc w:val="left"/>
            </w:pPr>
            <w:r>
              <w:t xml:space="preserve">300</w:t>
            </w:r>
          </w:p>
        </w:tc>
        <w:tc>
          <w:tcPr/>
          <w:p>
            <w:pPr>
              <w:pStyle w:val="Compact"/>
              <w:jc w:val="left"/>
            </w:pPr>
            <w:r>
              <w:t xml:space="preserve">9.25</w:t>
            </w:r>
          </w:p>
        </w:tc>
        <w:tc>
          <w:tcPr/>
          <w:p>
            <w:pPr>
              <w:pStyle w:val="Compact"/>
              <w:jc w:val="left"/>
            </w:pPr>
            <w:r>
              <w:t xml:space="preserve">2,775.00</w:t>
            </w:r>
          </w:p>
        </w:tc>
      </w:tr>
      <w:tr>
        <w:tc>
          <w:tcPr/>
          <w:p>
            <w:pPr>
              <w:pStyle w:val="Compact"/>
              <w:jc w:val="left"/>
            </w:pPr>
            <w:r>
              <w:t xml:space="preserve">6</w:t>
            </w:r>
          </w:p>
        </w:tc>
        <w:tc>
          <w:tcPr/>
          <w:p>
            <w:pPr>
              <w:pStyle w:val="Compact"/>
              <w:jc w:val="left"/>
            </w:pPr>
            <w:r>
              <w:t xml:space="preserve">Vitamin D3 50,000 IU Softgel Capsules (10 caps) – Supplement, chemist-recommended dosage</w:t>
            </w:r>
          </w:p>
        </w:tc>
        <w:tc>
          <w:tcPr/>
          <w:p>
            <w:pPr>
              <w:pStyle w:val="Compact"/>
              <w:jc w:val="left"/>
            </w:pPr>
            <w:r>
              <w:t xml:space="preserve">CHM-VIT-D3</w:t>
            </w:r>
          </w:p>
        </w:tc>
        <w:tc>
          <w:tcPr/>
          <w:p>
            <w:pPr>
              <w:pStyle w:val="Compact"/>
              <w:jc w:val="left"/>
            </w:pPr>
            <w:r>
              <w:t xml:space="preserve">400</w:t>
            </w:r>
          </w:p>
        </w:tc>
        <w:tc>
          <w:tcPr/>
          <w:p>
            <w:pPr>
              <w:pStyle w:val="Compact"/>
              <w:jc w:val="left"/>
            </w:pPr>
            <w:r>
              <w:t xml:space="preserve">22.00</w:t>
            </w:r>
          </w:p>
        </w:tc>
        <w:tc>
          <w:tcPr/>
          <w:p>
            <w:pPr>
              <w:pStyle w:val="Compact"/>
              <w:jc w:val="left"/>
            </w:pPr>
            <w:r>
              <w:t xml:space="preserve">8,800.00</w:t>
            </w:r>
          </w:p>
        </w:tc>
      </w:tr>
      <w:tr>
        <w:tc>
          <w:tcPr/>
          <w:p>
            <w:pPr>
              <w:pStyle w:val="Compact"/>
              <w:jc w:val="left"/>
            </w:pPr>
            <w:r>
              <w:t xml:space="preserve">7</w:t>
            </w:r>
          </w:p>
        </w:tc>
        <w:tc>
          <w:tcPr/>
          <w:p>
            <w:pPr>
              <w:pStyle w:val="Compact"/>
              <w:jc w:val="left"/>
            </w:pPr>
            <w:r>
              <w:t xml:space="preserve">Metformin 850mg Tablets (60 tabs) – Antidiabetic, bulk chemist order for hospital ward</w:t>
            </w:r>
          </w:p>
        </w:tc>
        <w:tc>
          <w:tcPr/>
          <w:p>
            <w:pPr>
              <w:pStyle w:val="Compact"/>
              <w:jc w:val="left"/>
            </w:pPr>
            <w:r>
              <w:t xml:space="preserve">CHM-MET-850</w:t>
            </w:r>
          </w:p>
        </w:tc>
        <w:tc>
          <w:tcPr/>
          <w:p>
            <w:pPr>
              <w:pStyle w:val="Compact"/>
              <w:jc w:val="left"/>
            </w:pPr>
            <w:r>
              <w:t xml:space="preserve">350</w:t>
            </w:r>
          </w:p>
        </w:tc>
        <w:tc>
          <w:tcPr/>
          <w:p>
            <w:pPr>
              <w:pStyle w:val="Compact"/>
              <w:jc w:val="left"/>
            </w:pPr>
            <w:r>
              <w:t xml:space="preserve">28.50</w:t>
            </w:r>
          </w:p>
        </w:tc>
        <w:tc>
          <w:tcPr/>
          <w:p>
            <w:pPr>
              <w:pStyle w:val="Compact"/>
              <w:jc w:val="left"/>
            </w:pPr>
            <w:r>
              <w:t xml:space="preserve">9,975.00</w:t>
            </w:r>
          </w:p>
        </w:tc>
      </w:tr>
      <w:tr>
        <w:tc>
          <w:tcPr/>
          <w:p>
            <w:pPr>
              <w:pStyle w:val="Compact"/>
              <w:jc w:val="left"/>
            </w:pPr>
            <w:r>
              <w:t xml:space="preserve">8</w:t>
            </w:r>
          </w:p>
        </w:tc>
        <w:tc>
          <w:tcPr/>
          <w:p>
            <w:pPr>
              <w:pStyle w:val="Compact"/>
              <w:jc w:val="left"/>
            </w:pPr>
            <w:r>
              <w:t xml:space="preserve">Medical Gloves (Nitrile, Medium) – Box of 100, single-use chemist-graded PPE</w:t>
            </w:r>
          </w:p>
        </w:tc>
        <w:tc>
          <w:tcPr/>
          <w:p>
            <w:pPr>
              <w:pStyle w:val="Compact"/>
              <w:jc w:val="left"/>
            </w:pPr>
            <w:r>
              <w:t xml:space="preserve">CHM-GLV-NIT</w:t>
            </w:r>
          </w:p>
        </w:tc>
        <w:tc>
          <w:tcPr/>
          <w:p>
            <w:pPr>
              <w:pStyle w:val="Compact"/>
              <w:jc w:val="left"/>
            </w:pPr>
            <w:r>
              <w:t xml:space="preserve">200</w:t>
            </w:r>
          </w:p>
        </w:tc>
        <w:tc>
          <w:tcPr/>
          <w:p>
            <w:pPr>
              <w:pStyle w:val="Compact"/>
              <w:jc w:val="left"/>
            </w:pPr>
            <w:r>
              <w:t xml:space="preserve">15.00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(SAR)</w:t>
            </w:r>
          </w:p>
        </w:tc>
        <w:tc>
          <w:tcPr/>
          <w:p>
            <w:pPr>
              <w:pStyle w:val="Compact"/>
              <w:jc w:val="right"/>
            </w:pPr>
            <w:r>
              <w:rPr>
                <w:bCs/>
                <w:b/>
              </w:rPr>
              <w:t xml:space="preserve">51,710.00</w:t>
            </w:r>
          </w:p>
        </w:tc>
      </w:tr>
      <w:tr>
        <w:tc>
          <w:tcPr/>
          <w:p>
            <w:pPr>
              <w:pStyle w:val="Compact"/>
              <w:jc w:val="left"/>
            </w:pPr>
            <w:r>
              <w:t xml:space="preserve">Trade Discount (5%)</w:t>
            </w:r>
          </w:p>
        </w:tc>
        <w:tc>
          <w:tcPr/>
          <w:p>
            <w:pPr>
              <w:pStyle w:val="Compact"/>
              <w:jc w:val="right"/>
            </w:pPr>
            <w:r>
              <w:t xml:space="preserve">-2,585.50</w:t>
            </w:r>
          </w:p>
        </w:tc>
      </w:tr>
      <w:tr>
        <w:tc>
          <w:tcPr/>
          <w:p>
            <w:pPr>
              <w:pStyle w:val="Compact"/>
              <w:jc w:val="left"/>
            </w:pPr>
            <w:r>
              <w:t xml:space="preserve">Net Amount (SAR)</w:t>
            </w:r>
          </w:p>
        </w:tc>
        <w:tc>
          <w:tcPr/>
          <w:p>
            <w:pPr>
              <w:pStyle w:val="Compact"/>
              <w:jc w:val="right"/>
            </w:pPr>
            <w:r>
              <w:rPr>
                <w:bCs/>
                <w:b/>
              </w:rPr>
              <w:t xml:space="preserve">49,124.50</w:t>
            </w:r>
          </w:p>
        </w:tc>
      </w:tr>
      <w:tr>
        <w:tc>
          <w:tcPr/>
          <w:p>
            <w:pPr>
              <w:pStyle w:val="Compact"/>
              <w:jc w:val="left"/>
            </w:pPr>
            <w:r>
              <w:t xml:space="preserve">VAT @ 15% (Saudi Arabia)</w:t>
            </w:r>
          </w:p>
        </w:tc>
        <w:tc>
          <w:tcPr/>
          <w:p>
            <w:pPr>
              <w:pStyle w:val="Compact"/>
              <w:jc w:val="right"/>
            </w:pPr>
            <w:r>
              <w:t xml:space="preserve">7,368.68</w:t>
            </w:r>
          </w:p>
        </w:tc>
      </w:tr>
      <w:tr>
        <w:tc>
          <w:tcPr/>
          <w:p>
            <w:pPr>
              <w:pStyle w:val="Compact"/>
              <w:jc w:val="left"/>
            </w:pPr>
            <w:r>
              <w:t xml:space="preserve">GRAND TOTAL (SAR)</w:t>
            </w:r>
          </w:p>
        </w:tc>
        <w:tc>
          <w:tcPr/>
          <w:p>
            <w:pPr>
              <w:pStyle w:val="Compact"/>
              <w:jc w:val="right"/>
            </w:pPr>
            <w:r>
              <w:t xml:space="preserve">56,493.18</w:t>
            </w:r>
          </w:p>
        </w:tc>
      </w:tr>
    </w:tbl>
    <w:bookmarkStart w:id="25" w:name="important-notes-terms-of-this-invoice"/>
    <w:p>
      <w:pPr>
        <w:pStyle w:val="Heading3"/>
      </w:pPr>
      <w:r>
        <w:t xml:space="preserve">Important Notes &amp; Terms of This Invoice</w:t>
      </w:r>
    </w:p>
    <w:p>
      <w:pPr>
        <w:pStyle w:val="FirstParagraph"/>
      </w:pPr>
      <w:r>
        <w:t xml:space="preserve">1. This invoice is issued by Al-Shifa Chemist &amp; Pharmacy, a licensed chemist and pharmaceutical dispensing facility registered with the Saudi Ministry of Health and operating in Jeddah, Saudi Arabia. All products listed comply with Saudi Food and Drug Authority (SFDA) regulations.</w:t>
      </w:r>
    </w:p>
    <w:p>
      <w:pPr>
        <w:pStyle w:val="BodyText"/>
      </w:pPr>
      <w:r>
        <w:t xml:space="preserve">2. The 15% Value Added Tax (VAT) applied on this invoice is in accordance with the Zakat, Tax and Customs Authority (ZATCA) of Saudi Arabia. The VAT registration number is printed in the header of this document for verification purposes.</w:t>
      </w:r>
    </w:p>
    <w:p>
      <w:pPr>
        <w:pStyle w:val="BodyText"/>
      </w:pPr>
      <w:r>
        <w:t xml:space="preserve">3. All prescription medications dispensed by this chemist in Jeddah have been verified against valid prescriptions submitted by the purchasing medical facility. Cold-chain items (Item #3) were transported in temperature-controlled packaging and delivered within the required 2–8°C range.</w:t>
      </w:r>
    </w:p>
    <w:p>
      <w:pPr>
        <w:pStyle w:val="BodyText"/>
      </w:pPr>
      <w:r>
        <w:t xml:space="preserve">4. Payment is due within fourteen (14) calendar days from the invoice date. Late payments will incur a penalty of 2% per month as per the commercial terms agreed upon between Al-Shifa Chemist and the purchasing entity.</w:t>
      </w:r>
    </w:p>
    <w:p>
      <w:pPr>
        <w:pStyle w:val="BodyText"/>
      </w:pPr>
      <w:r>
        <w:t xml:space="preserve">5. Any discrepancies in quantity, product condition, or pricing must be reported to the chemist's billing department in Jeddah within five (5) business days of delivery. After this period, the invoice shall be considered accepted in full.</w:t>
      </w:r>
    </w:p>
    <w:p>
      <w:pPr>
        <w:pStyle w:val="BodyText"/>
      </w:pPr>
      <w:r>
        <w:t xml:space="preserve">6. This invoice serves as the official tax document for both parties. A digital copy has been transmitted via email to the procurement manager, and a hard copy has been affixed to the delivery manifest. The chemist retains a copy in its Jeddah records for a minimum of seven (7) years as mandated by Saudi commercial law.</w:t>
      </w:r>
    </w:p>
    <w:p>
      <w:pPr>
        <w:pStyle w:val="BodyText"/>
      </w:pPr>
      <w:r>
        <w:t xml:space="preserve">7. Al-Shifa Chemist &amp; Pharmacy reserves the right to substitute any product with an equivalent therapeutic alternative if the original item is temporarily unavailable, provided prior written consent is obtained from the purchasing facility.</w:t>
      </w:r>
    </w:p>
    <w:bookmarkEnd w:id="25"/>
    <w:p>
      <w:pPr>
        <w:pStyle w:val="BodyText"/>
      </w:pPr>
      <w:r>
        <w:rPr>
          <w:bCs/>
          <w:b/>
        </w:rPr>
        <w:t xml:space="preserve">Al-Shifa Chemist &amp; Pharmacy</w:t>
      </w:r>
      <w:r>
        <w:t xml:space="preserve"> </w:t>
      </w:r>
      <w:r>
        <w:t xml:space="preserve">| Al Balad District, Jeddah 21442, Saudi Arabia</w:t>
      </w:r>
    </w:p>
    <w:p>
      <w:pPr>
        <w:pStyle w:val="BodyText"/>
      </w:pPr>
      <w:r>
        <w:t xml:space="preserve">Commercial Registration: 1010456789 | ZATCA VAT: 310123456700003 | MOH License: MOH-2024-JED-08921</w:t>
      </w:r>
    </w:p>
    <w:p>
      <w:pPr>
        <w:pStyle w:val="BodyText"/>
      </w:pPr>
      <w:r>
        <w:t xml:space="preserve">This invoice was generated electronically by the Al-Shifa Chemist billing system, Jeddah, Saudi Arabia. No physical signature is required for validity.</w:t>
      </w:r>
    </w:p>
    <w:p>
      <w:pPr>
        <w:pStyle w:val="BodyText"/>
      </w:pPr>
      <w:r>
        <w:t xml:space="preserve">For queries regarding this invoice, please contact: billing@alshifachemist.sa | +966 12 654 3210 (Mon–Sat, 8:00 AM – 10:00 PM AST)</w:t>
      </w:r>
    </w:p>
    <w:p>
      <w:pPr>
        <w:pStyle w:val="BodyText"/>
      </w:pPr>
      <w:r>
        <w:t xml:space="preserve">© 2025 Al-Shifa Chemist &amp; Pharmacy, Jeddah, Saudi Arabia. All rights reserved. Invoice INV-2025-04-08832.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Al-Shifa Chemist, Jeddah, Saudi Arabia</dc:title>
  <dc:creator/>
  <dc:language>en</dc:language>
  <cp:keywords/>
  <dcterms:created xsi:type="dcterms:W3CDTF">2026-10-10T06:41:12Z</dcterms:created>
  <dcterms:modified xsi:type="dcterms:W3CDTF">2026-10-10T06:41:12Z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