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Chemist</w:t>
      </w:r>
      <w:r>
        <w:t xml:space="preserve"> </w:t>
      </w:r>
      <w:r>
        <w:t xml:space="preserve">Barcelona,</w:t>
      </w:r>
      <w:r>
        <w:t xml:space="preserve"> </w:t>
      </w:r>
      <w:r>
        <w:t xml:space="preserve">Spain</w:t>
      </w:r>
    </w:p>
    <w:bookmarkStart w:id="20" w:name="pharmàcia-central-barcelona"/>
    <w:p>
      <w:pPr>
        <w:pStyle w:val="Heading1"/>
      </w:pPr>
      <w:r>
        <w:t xml:space="preserve">Pharmàcia Central Barcelona</w:t>
      </w:r>
    </w:p>
    <w:p>
      <w:pPr>
        <w:pStyle w:val="FirstParagraph"/>
      </w:pPr>
      <w:r>
        <w:rPr>
          <w:bCs/>
          <w:b/>
        </w:rPr>
        <w:t xml:space="preserve">Chemist &amp; Pharmacy Services</w:t>
      </w:r>
    </w:p>
    <w:p>
      <w:pPr>
        <w:pStyle w:val="BodyText"/>
      </w:pPr>
      <w:r>
        <w:t xml:space="preserve">Carrer de la Rambla, 142, 08002 Barcelona, Spain</w:t>
      </w:r>
    </w:p>
    <w:p>
      <w:pPr>
        <w:pStyle w:val="BodyText"/>
      </w:pPr>
      <w:r>
        <w:t xml:space="preserve">Tel: +34 932 123 456 | Email: info@farmaciacentralbcn.es</w:t>
      </w:r>
    </w:p>
    <w:p>
      <w:pPr>
        <w:pStyle w:val="BodyText"/>
      </w:pPr>
      <w:r>
        <w:t xml:space="preserve">NIF: B-08123456 | Col. Farm. Barcelona Nº 4521</w:t>
      </w:r>
    </w:p>
    <w:bookmarkEnd w:id="20"/>
    <w:bookmarkStart w:id="21" w:name="invoice"/>
    <w:p>
      <w:pPr>
        <w:pStyle w:val="Heading2"/>
      </w:pPr>
      <w:r>
        <w:t xml:space="preserve">INVOICE</w:t>
      </w:r>
    </w:p>
    <w:p>
      <w:pPr>
        <w:pStyle w:val="FirstParagraph"/>
      </w:pPr>
      <w:r>
        <w:t xml:space="preserve">Official Invoice</w:t>
      </w:r>
    </w:p>
    <w:bookmarkEnd w:id="21"/>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Invoice Number:</w:t>
            </w:r>
          </w:p>
        </w:tc>
        <w:tc>
          <w:tcPr/>
          <w:p>
            <w:pPr>
              <w:pStyle w:val="Compact"/>
              <w:jc w:val="left"/>
            </w:pPr>
            <w:r>
              <w:t xml:space="preserve">INV-2025-00487</w:t>
            </w:r>
          </w:p>
        </w:tc>
        <w:tc>
          <w:tcPr/>
          <w:p>
            <w:pPr>
              <w:pStyle w:val="Compact"/>
              <w:jc w:val="left"/>
            </w:pPr>
            <w:r>
              <w:t xml:space="preserve">Invoice Date:</w:t>
            </w:r>
          </w:p>
        </w:tc>
        <w:tc>
          <w:tcPr/>
          <w:p>
            <w:pPr>
              <w:pStyle w:val="Compact"/>
              <w:jc w:val="left"/>
            </w:pPr>
            <w:r>
              <w:t xml:space="preserve">14 June 2025</w:t>
            </w:r>
          </w:p>
        </w:tc>
      </w:tr>
      <w:tr>
        <w:tc>
          <w:tcPr/>
          <w:p>
            <w:pPr>
              <w:pStyle w:val="Compact"/>
              <w:jc w:val="left"/>
            </w:pPr>
            <w:r>
              <w:t xml:space="preserve">Due Date:</w:t>
            </w:r>
          </w:p>
        </w:tc>
        <w:tc>
          <w:tcPr/>
          <w:p>
            <w:pPr>
              <w:pStyle w:val="Compact"/>
              <w:jc w:val="left"/>
            </w:pPr>
            <w:r>
              <w:t xml:space="preserve">14 July 2025</w:t>
            </w:r>
          </w:p>
        </w:tc>
        <w:tc>
          <w:tcPr/>
          <w:p>
            <w:pPr>
              <w:pStyle w:val="Compact"/>
              <w:jc w:val="left"/>
            </w:pPr>
            <w:r>
              <w:t xml:space="preserve">Payment Terms:</w:t>
            </w:r>
          </w:p>
        </w:tc>
        <w:tc>
          <w:tcPr/>
          <w:p>
            <w:pPr>
              <w:pStyle w:val="Compact"/>
              <w:jc w:val="left"/>
            </w:pPr>
            <w:r>
              <w:t xml:space="preserve">Net 30 Days</w:t>
            </w:r>
          </w:p>
        </w:tc>
      </w:tr>
      <w:tr>
        <w:tc>
          <w:tcPr/>
          <w:p>
            <w:pPr>
              <w:pStyle w:val="Compact"/>
              <w:jc w:val="left"/>
            </w:pPr>
            <w:r>
              <w:t xml:space="preserve">Service Location:</w:t>
            </w:r>
          </w:p>
        </w:tc>
        <w:tc>
          <w:tcPr>
            <w:gridSpan w:val="3"/>
          </w:tcPr>
          <w:p>
            <w:pPr>
              <w:pStyle w:val="Compact"/>
              <w:jc w:val="left"/>
            </w:pPr>
            <w:r>
              <w:t xml:space="preserve">Chemist Counter – Spain Barcelona, Eixample District</w:t>
            </w:r>
          </w:p>
        </w:tc>
      </w:tr>
    </w:tbl>
    <w:bookmarkStart w:id="22" w:name="issued-by-chemist"/>
    <w:p>
      <w:pPr>
        <w:pStyle w:val="Heading3"/>
      </w:pPr>
      <w:r>
        <w:t xml:space="preserve">Issued By (Chemist)</w:t>
      </w:r>
    </w:p>
    <w:p>
      <w:pPr>
        <w:pStyle w:val="FirstParagraph"/>
      </w:pPr>
      <w:r>
        <w:rPr>
          <w:bCs/>
          <w:b/>
        </w:rPr>
        <w:t xml:space="preserve">Pharmàcia Central Barcelona</w:t>
      </w:r>
    </w:p>
    <w:p>
      <w:pPr>
        <w:pStyle w:val="BodyText"/>
      </w:pPr>
      <w:r>
        <w:t xml:space="preserve">Registered Chemist &amp; Pharmacy</w:t>
      </w:r>
    </w:p>
    <w:p>
      <w:pPr>
        <w:pStyle w:val="BodyText"/>
      </w:pPr>
      <w:r>
        <w:t xml:space="preserve">Carrer de la Rambla, 142</w:t>
      </w:r>
    </w:p>
    <w:p>
      <w:pPr>
        <w:pStyle w:val="BodyText"/>
      </w:pPr>
      <w:r>
        <w:t xml:space="preserve">08002 Barcelona, Spain</w:t>
      </w:r>
    </w:p>
    <w:p>
      <w:pPr>
        <w:pStyle w:val="BodyText"/>
      </w:pPr>
      <w:r>
        <w:t xml:space="preserve">NIF: B-08123456</w:t>
      </w:r>
    </w:p>
    <w:p>
      <w:pPr>
        <w:pStyle w:val="BodyText"/>
      </w:pPr>
      <w:r>
        <w:t xml:space="preserve">Pharmacist in Charge: Dr. Maria Soler Vidal</w:t>
      </w:r>
    </w:p>
    <w:p>
      <w:pPr>
        <w:pStyle w:val="BodyText"/>
      </w:pPr>
      <w:r>
        <w:t xml:space="preserve">Barcelona College of Pharmacists Member</w:t>
      </w:r>
    </w:p>
    <w:bookmarkEnd w:id="22"/>
    <w:bookmarkStart w:id="23" w:name="billed-to-client"/>
    <w:p>
      <w:pPr>
        <w:pStyle w:val="Heading3"/>
      </w:pPr>
      <w:r>
        <w:t xml:space="preserve">Billed To (Client)</w:t>
      </w:r>
    </w:p>
    <w:p>
      <w:pPr>
        <w:pStyle w:val="FirstParagraph"/>
      </w:pPr>
      <w:r>
        <w:rPr>
          <w:bCs/>
          <w:b/>
        </w:rPr>
        <w:t xml:space="preserve">Clínica Mediterrània S.L.</w:t>
      </w:r>
    </w:p>
    <w:p>
      <w:pPr>
        <w:pStyle w:val="BodyText"/>
      </w:pPr>
      <w:r>
        <w:t xml:space="preserve">Carrer de Pujades, 89</w:t>
      </w:r>
    </w:p>
    <w:p>
      <w:pPr>
        <w:pStyle w:val="BodyText"/>
      </w:pPr>
      <w:r>
        <w:t xml:space="preserve">08005 Barcelona, Spain</w:t>
      </w:r>
    </w:p>
    <w:p>
      <w:pPr>
        <w:pStyle w:val="BodyText"/>
      </w:pPr>
      <w:r>
        <w:t xml:space="preserve">NIF: B-65432109</w:t>
      </w:r>
    </w:p>
    <w:p>
      <w:pPr>
        <w:pStyle w:val="BodyText"/>
      </w:pPr>
      <w:r>
        <w:t xml:space="preserve">Contact: Dr. Jordi Ferran</w:t>
      </w:r>
    </w:p>
    <w:p>
      <w:pPr>
        <w:pStyle w:val="BodyText"/>
      </w:pPr>
      <w:r>
        <w:t xml:space="preserve">Email: compras@clinicamediterranea.es</w:t>
      </w:r>
    </w:p>
    <w:p>
      <w:pPr>
        <w:pStyle w:val="BodyText"/>
      </w:pPr>
      <w:r>
        <w:t xml:space="preserve">Phone: +34 933 456 789</w:t>
      </w:r>
    </w:p>
    <w:bookmarkEnd w:id="23"/>
    <w:bookmarkStart w:id="24" w:name="X48f326493de279b2db645ee29b4fa0513170fa3"/>
    <w:p>
      <w:pPr>
        <w:pStyle w:val="Heading3"/>
      </w:pPr>
      <w:r>
        <w:t xml:space="preserve">Invoice Line Items – Chemist Products &amp;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w:t>
            </w:r>
          </w:p>
        </w:tc>
        <w:tc>
          <w:tcPr/>
          <w:p>
            <w:pPr>
              <w:pStyle w:val="Compact"/>
              <w:jc w:val="left"/>
            </w:pPr>
            <w:r>
              <w:t xml:space="preserve">Amount (€)</w:t>
            </w:r>
          </w:p>
        </w:tc>
      </w:tr>
      <w:tr>
        <w:tc>
          <w:tcPr/>
          <w:p>
            <w:pPr>
              <w:pStyle w:val="Compact"/>
              <w:jc w:val="left"/>
            </w:pPr>
            <w:r>
              <w:t xml:space="preserve">001</w:t>
            </w:r>
          </w:p>
        </w:tc>
        <w:tc>
          <w:tcPr/>
          <w:p>
            <w:pPr>
              <w:pStyle w:val="Compact"/>
              <w:jc w:val="left"/>
            </w:pPr>
            <w:r>
              <w:t xml:space="preserve">Amoxicillin 500mg Capsules – 28 tablets (Prescription Dispensed)</w:t>
            </w:r>
          </w:p>
        </w:tc>
        <w:tc>
          <w:tcPr/>
          <w:p>
            <w:pPr>
              <w:pStyle w:val="Compact"/>
              <w:jc w:val="left"/>
            </w:pPr>
            <w:r>
              <w:t xml:space="preserve">Medication</w:t>
            </w:r>
          </w:p>
        </w:tc>
        <w:tc>
          <w:tcPr/>
          <w:p>
            <w:pPr>
              <w:pStyle w:val="Compact"/>
              <w:jc w:val="left"/>
            </w:pPr>
            <w:r>
              <w:t xml:space="preserve">4</w:t>
            </w:r>
          </w:p>
        </w:tc>
        <w:tc>
          <w:tcPr/>
          <w:p>
            <w:pPr>
              <w:pStyle w:val="Compact"/>
              <w:jc w:val="left"/>
            </w:pPr>
            <w:r>
              <w:t xml:space="preserve">6.85</w:t>
            </w:r>
          </w:p>
        </w:tc>
        <w:tc>
          <w:tcPr/>
          <w:p>
            <w:pPr>
              <w:pStyle w:val="Compact"/>
              <w:jc w:val="left"/>
            </w:pPr>
            <w:r>
              <w:t xml:space="preserve">27.40</w:t>
            </w:r>
          </w:p>
        </w:tc>
      </w:tr>
      <w:tr>
        <w:tc>
          <w:tcPr/>
          <w:p>
            <w:pPr>
              <w:pStyle w:val="Compact"/>
              <w:jc w:val="left"/>
            </w:pPr>
            <w:r>
              <w:t xml:space="preserve">002</w:t>
            </w:r>
          </w:p>
        </w:tc>
        <w:tc>
          <w:tcPr/>
          <w:p>
            <w:pPr>
              <w:pStyle w:val="Compact"/>
              <w:jc w:val="left"/>
            </w:pPr>
            <w:r>
              <w:t xml:space="preserve">Ibuprofen 400mg Tablets – 30 tablets (OTC)</w:t>
            </w:r>
          </w:p>
        </w:tc>
        <w:tc>
          <w:tcPr/>
          <w:p>
            <w:pPr>
              <w:pStyle w:val="Compact"/>
              <w:jc w:val="left"/>
            </w:pPr>
            <w:r>
              <w:t xml:space="preserve">Medication</w:t>
            </w:r>
          </w:p>
        </w:tc>
        <w:tc>
          <w:tcPr/>
          <w:p>
            <w:pPr>
              <w:pStyle w:val="Compact"/>
              <w:jc w:val="left"/>
            </w:pPr>
            <w:r>
              <w:t xml:space="preserve">6</w:t>
            </w:r>
          </w:p>
        </w:tc>
        <w:tc>
          <w:tcPr/>
          <w:p>
            <w:pPr>
              <w:pStyle w:val="Compact"/>
              <w:jc w:val="left"/>
            </w:pPr>
            <w:r>
              <w:t xml:space="preserve">3.20</w:t>
            </w:r>
          </w:p>
        </w:tc>
        <w:tc>
          <w:tcPr/>
          <w:p>
            <w:pPr>
              <w:pStyle w:val="Compact"/>
              <w:jc w:val="left"/>
            </w:pPr>
            <w:r>
              <w:t xml:space="preserve">19.20</w:t>
            </w:r>
          </w:p>
        </w:tc>
      </w:tr>
      <w:tr>
        <w:tc>
          <w:tcPr/>
          <w:p>
            <w:pPr>
              <w:pStyle w:val="Compact"/>
              <w:jc w:val="left"/>
            </w:pPr>
            <w:r>
              <w:t xml:space="preserve">003</w:t>
            </w:r>
          </w:p>
        </w:tc>
        <w:tc>
          <w:tcPr/>
          <w:p>
            <w:pPr>
              <w:pStyle w:val="Compact"/>
              <w:jc w:val="left"/>
            </w:pPr>
            <w:r>
              <w:t xml:space="preserve">Salbutamol Inhaler 100mcg – 200 doses (Prescription Dispensed)</w:t>
            </w:r>
          </w:p>
        </w:tc>
        <w:tc>
          <w:tcPr/>
          <w:p>
            <w:pPr>
              <w:pStyle w:val="Compact"/>
              <w:jc w:val="left"/>
            </w:pPr>
            <w:r>
              <w:t xml:space="preserve">Medication</w:t>
            </w:r>
          </w:p>
        </w:tc>
        <w:tc>
          <w:tcPr/>
          <w:p>
            <w:pPr>
              <w:pStyle w:val="Compact"/>
              <w:jc w:val="left"/>
            </w:pPr>
            <w:r>
              <w:t xml:space="preserve">3</w:t>
            </w:r>
          </w:p>
        </w:tc>
        <w:tc>
          <w:tcPr/>
          <w:p>
            <w:pPr>
              <w:pStyle w:val="Compact"/>
              <w:jc w:val="left"/>
            </w:pPr>
            <w:r>
              <w:t xml:space="preserve">12.50</w:t>
            </w:r>
          </w:p>
        </w:tc>
        <w:tc>
          <w:tcPr/>
          <w:p>
            <w:pPr>
              <w:pStyle w:val="Compact"/>
              <w:jc w:val="left"/>
            </w:pPr>
            <w:r>
              <w:t xml:space="preserve">37.50</w:t>
            </w:r>
          </w:p>
        </w:tc>
      </w:tr>
      <w:tr>
        <w:tc>
          <w:tcPr/>
          <w:p>
            <w:pPr>
              <w:pStyle w:val="Compact"/>
              <w:jc w:val="left"/>
            </w:pPr>
            <w:r>
              <w:t xml:space="preserve">004</w:t>
            </w:r>
          </w:p>
        </w:tc>
        <w:tc>
          <w:tcPr/>
          <w:p>
            <w:pPr>
              <w:pStyle w:val="Compact"/>
              <w:jc w:val="left"/>
            </w:pPr>
            <w:r>
              <w:t xml:space="preserve">Metformin 850mg Tablets – 60 tablets (Prescription Dispensed)</w:t>
            </w:r>
          </w:p>
        </w:tc>
        <w:tc>
          <w:tcPr/>
          <w:p>
            <w:pPr>
              <w:pStyle w:val="Compact"/>
              <w:jc w:val="left"/>
            </w:pPr>
            <w:r>
              <w:t xml:space="preserve">Medication</w:t>
            </w:r>
          </w:p>
        </w:tc>
        <w:tc>
          <w:tcPr/>
          <w:p>
            <w:pPr>
              <w:pStyle w:val="Compact"/>
              <w:jc w:val="left"/>
            </w:pPr>
            <w:r>
              <w:t xml:space="preserve">5</w:t>
            </w:r>
          </w:p>
        </w:tc>
        <w:tc>
          <w:tcPr/>
          <w:p>
            <w:pPr>
              <w:pStyle w:val="Compact"/>
              <w:jc w:val="left"/>
            </w:pPr>
            <w:r>
              <w:t xml:space="preserve">8.90</w:t>
            </w:r>
          </w:p>
        </w:tc>
        <w:tc>
          <w:tcPr/>
          <w:p>
            <w:pPr>
              <w:pStyle w:val="Compact"/>
              <w:jc w:val="left"/>
            </w:pPr>
            <w:r>
              <w:t xml:space="preserve">44.50</w:t>
            </w:r>
          </w:p>
        </w:tc>
      </w:tr>
      <w:tr>
        <w:tc>
          <w:tcPr/>
          <w:p>
            <w:pPr>
              <w:pStyle w:val="Compact"/>
              <w:jc w:val="left"/>
            </w:pPr>
            <w:r>
              <w:t xml:space="preserve">005</w:t>
            </w:r>
          </w:p>
        </w:tc>
        <w:tc>
          <w:tcPr/>
          <w:p>
            <w:pPr>
              <w:pStyle w:val="Compact"/>
              <w:jc w:val="left"/>
            </w:pPr>
            <w:r>
              <w:t xml:space="preserve">Medical Sterile Gauze Pads 10x10cm – Pack of 50</w:t>
            </w:r>
          </w:p>
        </w:tc>
        <w:tc>
          <w:tcPr/>
          <w:p>
            <w:pPr>
              <w:pStyle w:val="Compact"/>
              <w:jc w:val="left"/>
            </w:pPr>
            <w:r>
              <w:t xml:space="preserve">Medical Supplies</w:t>
            </w:r>
          </w:p>
        </w:tc>
        <w:tc>
          <w:tcPr/>
          <w:p>
            <w:pPr>
              <w:pStyle w:val="Compact"/>
              <w:jc w:val="left"/>
            </w:pPr>
            <w:r>
              <w:t xml:space="preserve">10</w:t>
            </w:r>
          </w:p>
        </w:tc>
        <w:tc>
          <w:tcPr/>
          <w:p>
            <w:pPr>
              <w:pStyle w:val="Compact"/>
              <w:jc w:val="left"/>
            </w:pPr>
            <w:r>
              <w:t xml:space="preserve">2.45</w:t>
            </w:r>
          </w:p>
        </w:tc>
        <w:tc>
          <w:tcPr/>
          <w:p>
            <w:pPr>
              <w:pStyle w:val="Compact"/>
              <w:jc w:val="left"/>
            </w:pPr>
            <w:r>
              <w:t xml:space="preserve">24.50</w:t>
            </w:r>
          </w:p>
        </w:tc>
      </w:tr>
      <w:tr>
        <w:tc>
          <w:tcPr/>
          <w:p>
            <w:pPr>
              <w:pStyle w:val="Compact"/>
              <w:jc w:val="left"/>
            </w:pPr>
            <w:r>
              <w:t xml:space="preserve">006</w:t>
            </w:r>
          </w:p>
        </w:tc>
        <w:tc>
          <w:tcPr/>
          <w:p>
            <w:pPr>
              <w:pStyle w:val="Compact"/>
              <w:jc w:val="left"/>
            </w:pPr>
            <w:r>
              <w:t xml:space="preserve">Hypertension Blood Pressure Monitor – Digital (Chemist Recommended)</w:t>
            </w:r>
          </w:p>
        </w:tc>
        <w:tc>
          <w:tcPr/>
          <w:p>
            <w:pPr>
              <w:pStyle w:val="Compact"/>
              <w:jc w:val="left"/>
            </w:pPr>
            <w:r>
              <w:t xml:space="preserve">Medical Device</w:t>
            </w:r>
          </w:p>
        </w:tc>
        <w:tc>
          <w:tcPr/>
          <w:p>
            <w:pPr>
              <w:pStyle w:val="Compact"/>
              <w:jc w:val="left"/>
            </w:pPr>
            <w:r>
              <w:t xml:space="preserve">2</w:t>
            </w:r>
          </w:p>
        </w:tc>
        <w:tc>
          <w:tcPr/>
          <w:p>
            <w:pPr>
              <w:pStyle w:val="Compact"/>
              <w:jc w:val="left"/>
            </w:pPr>
            <w:r>
              <w:t xml:space="preserve">45.00</w:t>
            </w:r>
          </w:p>
        </w:tc>
        <w:tc>
          <w:tcPr/>
          <w:p>
            <w:pPr>
              <w:pStyle w:val="Compact"/>
              <w:jc w:val="left"/>
            </w:pPr>
            <w:r>
              <w:t xml:space="preserve">90.00</w:t>
            </w:r>
          </w:p>
        </w:tc>
      </w:tr>
      <w:tr>
        <w:tc>
          <w:tcPr/>
          <w:p>
            <w:pPr>
              <w:pStyle w:val="Compact"/>
              <w:jc w:val="left"/>
            </w:pPr>
            <w:r>
              <w:t xml:space="preserve">007</w:t>
            </w:r>
          </w:p>
        </w:tc>
        <w:tc>
          <w:tcPr/>
          <w:p>
            <w:pPr>
              <w:pStyle w:val="Compact"/>
              <w:jc w:val="left"/>
            </w:pPr>
            <w:r>
              <w:t xml:space="preserve">Pharmaceutical Consultation &amp; Medication Review Service</w:t>
            </w:r>
          </w:p>
        </w:tc>
        <w:tc>
          <w:tcPr/>
          <w:p>
            <w:pPr>
              <w:pStyle w:val="Compact"/>
              <w:jc w:val="left"/>
            </w:pPr>
            <w:r>
              <w:t xml:space="preserve">Professional Service</w:t>
            </w:r>
          </w:p>
        </w:tc>
        <w:tc>
          <w:tcPr/>
          <w:p>
            <w:pPr>
              <w:pStyle w:val="Compact"/>
              <w:jc w:val="left"/>
            </w:pPr>
            <w:r>
              <w:t xml:space="preserve">1</w:t>
            </w:r>
          </w:p>
        </w:tc>
        <w:tc>
          <w:tcPr/>
          <w:p>
            <w:pPr>
              <w:pStyle w:val="Compact"/>
              <w:jc w:val="left"/>
            </w:pPr>
            <w:r>
              <w:t xml:space="preserve">25.00</w:t>
            </w:r>
          </w:p>
        </w:tc>
        <w:tc>
          <w:tcPr/>
          <w:p>
            <w:pPr>
              <w:pStyle w:val="Compact"/>
              <w:jc w:val="left"/>
            </w:pPr>
            <w:r>
              <w:t xml:space="preserve">25.00</w:t>
            </w:r>
          </w:p>
        </w:tc>
      </w:tr>
      <w:tr>
        <w:tc>
          <w:tcPr/>
          <w:p>
            <w:pPr>
              <w:pStyle w:val="Compact"/>
              <w:jc w:val="left"/>
            </w:pPr>
            <w:r>
              <w:t xml:space="preserve">008</w:t>
            </w:r>
          </w:p>
        </w:tc>
        <w:tc>
          <w:tcPr/>
          <w:p>
            <w:pPr>
              <w:pStyle w:val="Compact"/>
              <w:jc w:val="left"/>
            </w:pPr>
            <w:r>
              <w:t xml:space="preserve">Compounded Dermatology Cream – Custom Preparation (50g)</w:t>
            </w:r>
          </w:p>
        </w:tc>
        <w:tc>
          <w:tcPr/>
          <w:p>
            <w:pPr>
              <w:pStyle w:val="Compact"/>
              <w:jc w:val="left"/>
            </w:pPr>
            <w:r>
              <w:t xml:space="preserve">Compounded Product</w:t>
            </w:r>
          </w:p>
        </w:tc>
        <w:tc>
          <w:tcPr/>
          <w:p>
            <w:pPr>
              <w:pStyle w:val="Compact"/>
              <w:jc w:val="left"/>
            </w:pPr>
            <w:r>
              <w:t xml:space="preserve">3</w:t>
            </w:r>
          </w:p>
        </w:tc>
        <w:tc>
          <w:tcPr/>
          <w:p>
            <w:pPr>
              <w:pStyle w:val="Compact"/>
              <w:jc w:val="left"/>
            </w:pPr>
            <w:r>
              <w:t xml:space="preserve">18.75</w:t>
            </w:r>
          </w:p>
        </w:tc>
        <w:tc>
          <w:tcPr/>
          <w:p>
            <w:pPr>
              <w:pStyle w:val="Compact"/>
              <w:jc w:val="left"/>
            </w:pPr>
            <w:r>
              <w:t xml:space="preserve">56.25</w:t>
            </w:r>
          </w:p>
        </w:tc>
      </w:tr>
      <w:tr>
        <w:tc>
          <w:tcPr/>
          <w:p>
            <w:pPr>
              <w:pStyle w:val="Compact"/>
              <w:jc w:val="left"/>
            </w:pPr>
            <w:r>
              <w:t xml:space="preserve">009</w:t>
            </w:r>
          </w:p>
        </w:tc>
        <w:tc>
          <w:tcPr/>
          <w:p>
            <w:pPr>
              <w:pStyle w:val="Compact"/>
              <w:jc w:val="left"/>
            </w:pPr>
            <w:r>
              <w:t xml:space="preserve">Vitamin D3 2000 IU Softgels – 100 capsules (Supplement)</w:t>
            </w:r>
          </w:p>
        </w:tc>
        <w:tc>
          <w:tcPr/>
          <w:p>
            <w:pPr>
              <w:pStyle w:val="Compact"/>
              <w:jc w:val="left"/>
            </w:pPr>
            <w:r>
              <w:t xml:space="preserve">Supplement</w:t>
            </w:r>
          </w:p>
        </w:tc>
        <w:tc>
          <w:tcPr/>
          <w:p>
            <w:pPr>
              <w:pStyle w:val="Compact"/>
              <w:jc w:val="left"/>
            </w:pPr>
            <w:r>
              <w:t xml:space="preserve">4</w:t>
            </w:r>
          </w:p>
        </w:tc>
        <w:tc>
          <w:tcPr/>
          <w:p>
            <w:pPr>
              <w:pStyle w:val="Compact"/>
              <w:jc w:val="left"/>
            </w:pPr>
            <w:r>
              <w:t xml:space="preserve">9.60</w:t>
            </w:r>
          </w:p>
        </w:tc>
        <w:tc>
          <w:tcPr/>
          <w:p>
            <w:pPr>
              <w:pStyle w:val="Compact"/>
              <w:jc w:val="left"/>
            </w:pPr>
            <w:r>
              <w:t xml:space="preserve">38.40</w:t>
            </w:r>
          </w:p>
        </w:tc>
      </w:tr>
      <w:tr>
        <w:tc>
          <w:tcPr/>
          <w:p>
            <w:pPr>
              <w:pStyle w:val="Compact"/>
              <w:jc w:val="left"/>
            </w:pPr>
            <w:r>
              <w:t xml:space="preserve">010</w:t>
            </w:r>
          </w:p>
        </w:tc>
        <w:tc>
          <w:tcPr/>
          <w:p>
            <w:pPr>
              <w:pStyle w:val="Compact"/>
              <w:jc w:val="left"/>
            </w:pPr>
            <w:r>
              <w:t xml:space="preserve">Delivery &amp; Handling within Barcelona City (Chemist Courier)</w:t>
            </w:r>
          </w:p>
        </w:tc>
        <w:tc>
          <w:tcPr/>
          <w:p>
            <w:pPr>
              <w:pStyle w:val="Compact"/>
              <w:jc w:val="left"/>
            </w:pPr>
            <w:r>
              <w:t xml:space="preserve">Logistics</w:t>
            </w:r>
          </w:p>
        </w:tc>
        <w:tc>
          <w:tcPr/>
          <w:p>
            <w:pPr>
              <w:pStyle w:val="Compact"/>
              <w:jc w:val="left"/>
            </w:pPr>
            <w:r>
              <w:t xml:space="preserve">1</w:t>
            </w:r>
          </w:p>
        </w:tc>
        <w:tc>
          <w:tcPr/>
          <w:p>
            <w:pPr>
              <w:pStyle w:val="Compact"/>
              <w:jc w:val="left"/>
            </w:pPr>
            <w:r>
              <w:t xml:space="preserve">8.00</w:t>
            </w:r>
          </w:p>
        </w:tc>
        <w:tc>
          <w:tcPr/>
          <w:p>
            <w:pPr>
              <w:pStyle w:val="Compact"/>
              <w:jc w:val="left"/>
            </w:pPr>
            <w:r>
              <w:t xml:space="preserve">8.00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(Excluding VAT):</w:t>
            </w:r>
          </w:p>
        </w:tc>
        <w:tc>
          <w:tcPr/>
          <w:p>
            <w:pPr>
              <w:pStyle w:val="Compact"/>
              <w:jc w:val="right"/>
            </w:pPr>
            <w:r>
              <w:t xml:space="preserve">370.75 €</w:t>
            </w:r>
          </w:p>
        </w:tc>
      </w:tr>
      <w:tr>
        <w:tc>
          <w:tcPr/>
          <w:p>
            <w:pPr>
              <w:pStyle w:val="Compact"/>
              <w:jc w:val="left"/>
            </w:pPr>
            <w:r>
              <w:t xml:space="preserve">VAT (IVA) 21% – Medications &amp; Supplies:</w:t>
            </w:r>
          </w:p>
        </w:tc>
        <w:tc>
          <w:tcPr/>
          <w:p>
            <w:pPr>
              <w:pStyle w:val="Compact"/>
              <w:jc w:val="right"/>
            </w:pPr>
            <w:r>
              <w:t xml:space="preserve">77.86 €</w:t>
            </w:r>
          </w:p>
        </w:tc>
      </w:tr>
      <w:tr>
        <w:tc>
          <w:tcPr/>
          <w:p>
            <w:pPr>
              <w:pStyle w:val="Compact"/>
              <w:jc w:val="left"/>
            </w:pPr>
            <w:r>
              <w:t xml:space="preserve">VAT (IVA) 10% – Reduced Rate Items:</w:t>
            </w:r>
          </w:p>
        </w:tc>
        <w:tc>
          <w:tcPr/>
          <w:p>
            <w:pPr>
              <w:pStyle w:val="Compact"/>
              <w:jc w:val="right"/>
            </w:pPr>
            <w:r>
              <w:t xml:space="preserve">12.45 €</w:t>
            </w:r>
          </w:p>
        </w:tc>
      </w:tr>
      <w:tr>
        <w:tc>
          <w:tcPr/>
          <w:p>
            <w:pPr>
              <w:pStyle w:val="Compact"/>
              <w:jc w:val="left"/>
            </w:pPr>
            <w:r>
              <w:t xml:space="preserve">VAT (IVA) 4% – Essential Medications:</w:t>
            </w:r>
          </w:p>
        </w:tc>
        <w:tc>
          <w:tcPr/>
          <w:p>
            <w:pPr>
              <w:pStyle w:val="Compact"/>
              <w:jc w:val="right"/>
            </w:pPr>
            <w:r>
              <w:t xml:space="preserve">8.92 €</w:t>
            </w:r>
          </w:p>
        </w:tc>
      </w:tr>
      <w:tr>
        <w:tc>
          <w:tcPr/>
          <w:p>
            <w:pPr>
              <w:pStyle w:val="Compact"/>
              <w:jc w:val="left"/>
            </w:pPr>
            <w:r>
              <w:t xml:space="preserve">Total VAT (IVA):</w:t>
            </w:r>
          </w:p>
        </w:tc>
        <w:tc>
          <w:tcPr/>
          <w:p>
            <w:pPr>
              <w:pStyle w:val="Compact"/>
              <w:jc w:val="right"/>
            </w:pPr>
            <w:r>
              <w:t xml:space="preserve">99.23 €</w:t>
            </w:r>
          </w:p>
        </w:tc>
      </w:tr>
      <w:tr>
        <w:tc>
          <w:tcPr/>
          <w:p>
            <w:pPr>
              <w:pStyle w:val="Compact"/>
              <w:jc w:val="left"/>
            </w:pPr>
            <w:r>
              <w:t xml:space="preserve">INVOICE TOTAL (EUR):</w:t>
            </w:r>
          </w:p>
        </w:tc>
        <w:tc>
          <w:tcPr/>
          <w:p>
            <w:pPr>
              <w:pStyle w:val="Compact"/>
              <w:jc w:val="right"/>
            </w:pPr>
            <w:r>
              <w:t xml:space="preserve">469.98 €</w:t>
            </w:r>
          </w:p>
        </w:tc>
      </w:tr>
    </w:tbl>
    <w:p>
      <w:pPr>
        <w:pStyle w:val="BodyText"/>
      </w:pPr>
      <w:r>
        <w:rPr>
          <w:bCs/>
          <w:b/>
        </w:rPr>
        <w:t xml:space="preserve">Invoice Notes &amp; Chemist Advisory:</w:t>
      </w:r>
    </w:p>
    <w:p>
      <w:pPr>
        <w:pStyle w:val="BodyText"/>
      </w:pPr>
      <w:r>
        <w:t xml:space="preserve">1. This Invoice has been issued by a registered Chemist operating under the regulations of the Generalitat de Catalunya and the Spanish Ministry of Health. All prescription items listed above were dispensed in accordance with valid medical prescriptions provided by the client's attending physicians.</w:t>
      </w:r>
    </w:p>
    <w:p>
      <w:pPr>
        <w:pStyle w:val="BodyText"/>
      </w:pPr>
      <w:r>
        <w:t xml:space="preserve">2. The Chemist at Pharmàcia Central Barcelona confirms that all medications and pharmaceutical products listed on this Invoice are sourced from licensed wholesale distributors registered in Spain and comply with the European Medicines Agency (EMA) standards.</w:t>
      </w:r>
    </w:p>
    <w:p>
      <w:pPr>
        <w:pStyle w:val="BodyText"/>
      </w:pPr>
      <w:r>
        <w:t xml:space="preserve">3. Payment for this Invoice is due within 30 calendar days from the Invoice date. Late payments may incur interest at the rate established by the Spanish Law on Late Payment in Commercial Transactions (Ley 3/2004).</w:t>
      </w:r>
    </w:p>
    <w:p>
      <w:pPr>
        <w:pStyle w:val="BodyText"/>
      </w:pPr>
      <w:r>
        <w:t xml:space="preserve">4. This Invoice is valid for tax deduction purposes under the Spanish VAT (IVA) regulations. The NIF number of the Chemist establishment is included for fiscal compliance in Spain Barcelona.</w:t>
      </w:r>
    </w:p>
    <w:p>
      <w:pPr>
        <w:pStyle w:val="BodyText"/>
      </w:pPr>
      <w:r>
        <w:t xml:space="preserve">5. For any queries regarding this Invoice, please contact the Chemist directly at the address stated above or via the email provided. Our team in Spain Barcelona is available Monday to Saturday, 9:00 to 21:00.</w:t>
      </w:r>
    </w:p>
    <w:p>
      <w:pPr>
        <w:pStyle w:val="BodyText"/>
      </w:pPr>
      <w:r>
        <w:rPr>
          <w:bCs/>
          <w:b/>
        </w:rPr>
        <w:t xml:space="preserve">Legal &amp; Regulatory Information:</w:t>
      </w:r>
      <w:r>
        <w:t xml:space="preserve"> </w:t>
      </w:r>
      <w:r>
        <w:t xml:space="preserve">This Invoice is issued in compliance with the Spanish Tax Agency (Agencia Tributaria) requirements for electronic and paper invoicing under Royal Decree 1619/2012. The Chemist establishment identified herein is registered with the Barcelona Provincial Pharmacy Council (Col·legi Oficial de Farmacèutics de Barcelona) and holds a valid operating license for the dispensing of pharmaceutical products, compounded preparations, and medical devices within the municipality of Barcelona, Spain. All transactions recorded on this Invoice are subject to the Spanish Consumer Protection Law (Ley General para la Defensa de los Consumidores y Usuarios) and the applicable Catalan regional health regulations. The Chemist reserves the right to verify prescriptions and may refuse dispensing if regulatory requirements are not met. This document constitutes the official Invoice for the services and products rendered and should be retained by the client for a minimum of four (4) years in accordance with Spanish commercial record-keeping obligations.</w:t>
      </w:r>
    </w:p>
    <w:p>
      <w:pPr>
        <w:pStyle w:val="BodyText"/>
      </w:pPr>
      <w:r>
        <w:t xml:space="preserve">Pharmàcia Central Barcelona – Your Trusted Chemist in Spain Barcelona</w:t>
      </w:r>
    </w:p>
    <w:p>
      <w:pPr>
        <w:pStyle w:val="BodyText"/>
      </w:pPr>
      <w:r>
        <w:t xml:space="preserve">Invoice INV-2025-00487 | Generated on 14 June 2025 | Page 1 of 1</w:t>
      </w:r>
    </w:p>
    <w:p>
      <w:pPr>
        <w:pStyle w:val="BodyText"/>
      </w:pPr>
      <w:r>
        <w:t xml:space="preserve">Thank you for choosing our Chemist services. We are committed to your health and well-being in Spain Barcelona.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Chemist Barcelona, Spain</dc:title>
  <dc:creator/>
  <dc:language>en</dc:language>
  <cp:keywords/>
  <dcterms:created xsi:type="dcterms:W3CDTF">2026-10-10T04:32:47Z</dcterms:created>
  <dcterms:modified xsi:type="dcterms:W3CDTF">2026-10-10T04:32:47Z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