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Chemist</w:t>
      </w:r>
      <w:r>
        <w:t xml:space="preserve"> </w:t>
      </w:r>
      <w:r>
        <w:t xml:space="preserve">Madrid,</w:t>
      </w:r>
      <w:r>
        <w:t xml:space="preserve"> </w:t>
      </w:r>
      <w:r>
        <w:t xml:space="preserve">Spain</w:t>
      </w:r>
    </w:p>
    <w:bookmarkStart w:id="20" w:name="farmacia-central-madrid"/>
    <w:p>
      <w:pPr>
        <w:pStyle w:val="Heading1"/>
      </w:pPr>
      <w:r>
        <w:t xml:space="preserve">Farmacia Central Madrid</w:t>
      </w:r>
    </w:p>
    <w:p>
      <w:pPr>
        <w:pStyle w:val="FirstParagraph"/>
      </w:pPr>
      <w:r>
        <w:t xml:space="preserve">Chemist &amp; Pharmacy Services</w:t>
      </w:r>
    </w:p>
    <w:p>
      <w:pPr>
        <w:pStyle w:val="BodyText"/>
      </w:pPr>
      <w:r>
        <w:t xml:space="preserve">Calle Gran Vía, 42, 28013 Madrid, Spain</w:t>
      </w:r>
    </w:p>
    <w:p>
      <w:pPr>
        <w:pStyle w:val="BodyText"/>
      </w:pPr>
      <w:r>
        <w:t xml:space="preserve">Tel: +34 915 55 12 34 | Email: info@farmaciacentralmadrid.es</w:t>
      </w:r>
    </w:p>
    <w:p>
      <w:pPr>
        <w:pStyle w:val="BodyText"/>
      </w:pPr>
      <w:r>
        <w:t xml:space="preserve">NIF: B-87654321 | Col. Farm. Madrid Nº 12.847</w:t>
      </w:r>
    </w:p>
    <w:bookmarkEnd w:id="20"/>
    <w:bookmarkStart w:id="21" w:name="invoice"/>
    <w:p>
      <w:pPr>
        <w:pStyle w:val="Heading2"/>
      </w:pPr>
      <w:r>
        <w:t xml:space="preserve">INVOICE</w:t>
      </w:r>
    </w:p>
    <w:p>
      <w:pPr>
        <w:pStyle w:val="FirstParagraph"/>
      </w:pPr>
      <w:r>
        <w:t xml:space="preserve">PAID</w:t>
      </w:r>
    </w:p>
    <w:bookmarkEnd w:id="21"/>
    <w:p>
      <w:pPr>
        <w:pStyle w:val="BodyText"/>
      </w:pPr>
      <w:r>
        <w:t xml:space="preserve">Invoice Number:</w:t>
      </w:r>
      <w:r>
        <w:t xml:space="preserve"> </w:t>
      </w:r>
      <w:r>
        <w:t xml:space="preserve">FCM-2025-004872</w:t>
      </w:r>
    </w:p>
    <w:p>
      <w:pPr>
        <w:pStyle w:val="BodyText"/>
      </w:pPr>
      <w:r>
        <w:t xml:space="preserve">Invoice Date:</w:t>
      </w:r>
      <w:r>
        <w:t xml:space="preserve"> </w:t>
      </w:r>
      <w:r>
        <w:t xml:space="preserve">14 June 2025</w:t>
      </w:r>
    </w:p>
    <w:p>
      <w:pPr>
        <w:pStyle w:val="BodyText"/>
      </w:pPr>
      <w:r>
        <w:t xml:space="preserve">Due Date:</w:t>
      </w:r>
      <w:r>
        <w:t xml:space="preserve"> </w:t>
      </w:r>
      <w:r>
        <w:t xml:space="preserve">14 June 2025 (Immediate Settlement)</w:t>
      </w:r>
    </w:p>
    <w:p>
      <w:pPr>
        <w:pStyle w:val="BodyText"/>
      </w:pPr>
      <w:r>
        <w:t xml:space="preserve">Reference:</w:t>
      </w:r>
      <w:r>
        <w:t xml:space="preserve"> </w:t>
      </w:r>
      <w:r>
        <w:t xml:space="preserve">Prescription Ref. RX-2025-33419 / OTC Purchase</w:t>
      </w:r>
    </w:p>
    <w:p>
      <w:pPr>
        <w:pStyle w:val="BodyText"/>
      </w:pPr>
      <w:r>
        <w:t xml:space="preserve">Issued By:</w:t>
      </w:r>
      <w:r>
        <w:t xml:space="preserve"> </w:t>
      </w:r>
      <w:r>
        <w:t xml:space="preserve">Chemist On Duty – Dña. María López García</w:t>
      </w:r>
    </w:p>
    <w:bookmarkStart w:id="22" w:name="bill-to-customer"/>
    <w:p>
      <w:pPr>
        <w:pStyle w:val="Heading3"/>
      </w:pPr>
      <w:r>
        <w:t xml:space="preserve">Bill To (Customer)</w:t>
      </w:r>
    </w:p>
    <w:p>
      <w:pPr>
        <w:pStyle w:val="FirstParagraph"/>
      </w:pPr>
      <w:r>
        <w:rPr>
          <w:bCs/>
          <w:b/>
        </w:rPr>
        <w:t xml:space="preserve">Name:</w:t>
      </w:r>
      <w:r>
        <w:t xml:space="preserve"> </w:t>
      </w:r>
      <w:r>
        <w:t xml:space="preserve">D. Carlos Fernández Ruiz</w:t>
      </w:r>
    </w:p>
    <w:p>
      <w:pPr>
        <w:pStyle w:val="BodyText"/>
      </w:pPr>
      <w:r>
        <w:rPr>
          <w:bCs/>
          <w:b/>
        </w:rPr>
        <w:t xml:space="preserve">Address:</w:t>
      </w:r>
      <w:r>
        <w:t xml:space="preserve"> </w:t>
      </w:r>
      <w:r>
        <w:t xml:space="preserve">Calle Serrano, 118, 4ºB</w:t>
      </w:r>
    </w:p>
    <w:p>
      <w:pPr>
        <w:pStyle w:val="BodyText"/>
      </w:pPr>
      <w:r>
        <w:rPr>
          <w:bCs/>
          <w:b/>
        </w:rPr>
        <w:t xml:space="preserve">City:</w:t>
      </w:r>
      <w:r>
        <w:t xml:space="preserve"> </w:t>
      </w:r>
      <w:r>
        <w:t xml:space="preserve">28006 Madrid, Spain</w:t>
      </w:r>
    </w:p>
    <w:p>
      <w:pPr>
        <w:pStyle w:val="BodyText"/>
      </w:pPr>
      <w:r>
        <w:rPr>
          <w:bCs/>
          <w:b/>
        </w:rPr>
        <w:t xml:space="preserve">NIF:</w:t>
      </w:r>
      <w:r>
        <w:t xml:space="preserve"> </w:t>
      </w:r>
      <w:r>
        <w:t xml:space="preserve">12.345.678-Z</w:t>
      </w:r>
    </w:p>
    <w:p>
      <w:pPr>
        <w:pStyle w:val="BodyText"/>
      </w:pPr>
      <w:r>
        <w:rPr>
          <w:bCs/>
          <w:b/>
        </w:rPr>
        <w:t xml:space="preserve">Phone:</w:t>
      </w:r>
      <w:r>
        <w:t xml:space="preserve"> </w:t>
      </w:r>
      <w:r>
        <w:t xml:space="preserve">+34 612 345 678</w:t>
      </w:r>
    </w:p>
    <w:p>
      <w:pPr>
        <w:pStyle w:val="BodyText"/>
      </w:pPr>
      <w:r>
        <w:rPr>
          <w:bCs/>
          <w:b/>
        </w:rPr>
        <w:t xml:space="preserve">Insurance:</w:t>
      </w:r>
      <w:r>
        <w:t xml:space="preserve"> </w:t>
      </w:r>
      <w:r>
        <w:t xml:space="preserve">Mutualidad General Sanitaria (MGS)</w:t>
      </w:r>
    </w:p>
    <w:bookmarkEnd w:id="22"/>
    <w:bookmarkStart w:id="23" w:name="prescribing-physician"/>
    <w:p>
      <w:pPr>
        <w:pStyle w:val="Heading3"/>
      </w:pPr>
      <w:r>
        <w:t xml:space="preserve">Prescribing Physician</w:t>
      </w:r>
    </w:p>
    <w:p>
      <w:pPr>
        <w:pStyle w:val="FirstParagraph"/>
      </w:pPr>
      <w:r>
        <w:rPr>
          <w:bCs/>
          <w:b/>
        </w:rPr>
        <w:t xml:space="preserve">Doctor:</w:t>
      </w:r>
      <w:r>
        <w:t xml:space="preserve"> </w:t>
      </w:r>
      <w:r>
        <w:t xml:space="preserve">Dr. Antonio Vega Martín</w:t>
      </w:r>
    </w:p>
    <w:p>
      <w:pPr>
        <w:pStyle w:val="BodyText"/>
      </w:pPr>
      <w:r>
        <w:rPr>
          <w:bCs/>
          <w:b/>
        </w:rPr>
        <w:t xml:space="preserve">Specialty:</w:t>
      </w:r>
      <w:r>
        <w:t xml:space="preserve"> </w:t>
      </w:r>
      <w:r>
        <w:t xml:space="preserve">Internal Medicine</w:t>
      </w:r>
    </w:p>
    <w:p>
      <w:pPr>
        <w:pStyle w:val="BodyText"/>
      </w:pPr>
      <w:r>
        <w:rPr>
          <w:bCs/>
          <w:b/>
        </w:rPr>
        <w:t xml:space="preserve">Clinic:</w:t>
      </w:r>
      <w:r>
        <w:t xml:space="preserve"> </w:t>
      </w:r>
      <w:r>
        <w:t xml:space="preserve">Hospital Universitario La Paz</w:t>
      </w:r>
    </w:p>
    <w:p>
      <w:pPr>
        <w:pStyle w:val="BodyText"/>
      </w:pPr>
      <w:r>
        <w:rPr>
          <w:bCs/>
          <w:b/>
        </w:rPr>
        <w:t xml:space="preserve">Address:</w:t>
      </w:r>
      <w:r>
        <w:t xml:space="preserve"> </w:t>
      </w:r>
      <w:r>
        <w:t xml:space="preserve">Paseo de la Castellana, 261</w:t>
      </w:r>
    </w:p>
    <w:p>
      <w:pPr>
        <w:pStyle w:val="BodyText"/>
      </w:pPr>
      <w:r>
        <w:rPr>
          <w:bCs/>
          <w:b/>
        </w:rPr>
        <w:t xml:space="preserve">City:</w:t>
      </w:r>
      <w:r>
        <w:t xml:space="preserve"> </w:t>
      </w:r>
      <w:r>
        <w:t xml:space="preserve">28046 Madrid, Spain</w:t>
      </w:r>
    </w:p>
    <w:p>
      <w:pPr>
        <w:pStyle w:val="BodyText"/>
      </w:pPr>
      <w:r>
        <w:rPr>
          <w:bCs/>
          <w:b/>
        </w:rPr>
        <w:t xml:space="preserve">Nº Colegiado:</w:t>
      </w:r>
      <w:r>
        <w:t xml:space="preserve"> </w:t>
      </w:r>
      <w:r>
        <w:t xml:space="preserve">28/28456</w:t>
      </w:r>
    </w:p>
    <w:bookmarkEnd w:id="23"/>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Product Code (DCI)</w:t>
            </w:r>
          </w:p>
        </w:tc>
        <w:tc>
          <w:tcPr/>
          <w:p>
            <w:pPr>
              <w:pStyle w:val="Compact"/>
              <w:jc w:val="left"/>
            </w:pPr>
            <w:r>
              <w:t xml:space="preserve">Quantity</w:t>
            </w:r>
          </w:p>
        </w:tc>
        <w:tc>
          <w:tcPr/>
          <w:p>
            <w:pPr>
              <w:pStyle w:val="Compact"/>
              <w:jc w:val="left"/>
            </w:pPr>
            <w:r>
              <w:t xml:space="preserve">Unit Price (€)</w:t>
            </w:r>
          </w:p>
        </w:tc>
        <w:tc>
          <w:tcPr/>
          <w:p>
            <w:pPr>
              <w:pStyle w:val="Compact"/>
              <w:jc w:val="left"/>
            </w:pPr>
            <w:r>
              <w:t xml:space="preserve">IVA %</w:t>
            </w:r>
          </w:p>
        </w:tc>
        <w:tc>
          <w:tcPr/>
          <w:p>
            <w:pPr>
              <w:pStyle w:val="Compact"/>
              <w:jc w:val="left"/>
            </w:pPr>
            <w:r>
              <w:t xml:space="preserve">Amount (€)</w:t>
            </w:r>
          </w:p>
        </w:tc>
      </w:tr>
      <w:tr>
        <w:tc>
          <w:tcPr/>
          <w:p>
            <w:pPr>
              <w:pStyle w:val="Compact"/>
              <w:jc w:val="left"/>
            </w:pPr>
            <w:r>
              <w:t xml:space="preserve">1</w:t>
            </w:r>
          </w:p>
        </w:tc>
        <w:tc>
          <w:tcPr/>
          <w:p>
            <w:pPr>
              <w:pStyle w:val="Compact"/>
              <w:jc w:val="left"/>
            </w:pPr>
            <w:r>
              <w:t xml:space="preserve">Amoxicillin 500mg Capsules – 21 caps (Prescription)</w:t>
            </w:r>
          </w:p>
        </w:tc>
        <w:tc>
          <w:tcPr/>
          <w:p>
            <w:pPr>
              <w:pStyle w:val="Compact"/>
              <w:jc w:val="left"/>
            </w:pPr>
            <w:r>
              <w:t xml:space="preserve">AMX-500-21</w:t>
            </w:r>
          </w:p>
        </w:tc>
        <w:tc>
          <w:tcPr/>
          <w:p>
            <w:pPr>
              <w:pStyle w:val="Compact"/>
              <w:jc w:val="left"/>
            </w:pPr>
            <w:r>
              <w:t xml:space="preserve">2 boxes</w:t>
            </w:r>
          </w:p>
        </w:tc>
        <w:tc>
          <w:tcPr/>
          <w:p>
            <w:pPr>
              <w:pStyle w:val="Compact"/>
              <w:jc w:val="left"/>
            </w:pPr>
            <w:r>
              <w:t xml:space="preserve">4.85</w:t>
            </w:r>
          </w:p>
        </w:tc>
        <w:tc>
          <w:tcPr/>
          <w:p>
            <w:pPr>
              <w:pStyle w:val="Compact"/>
              <w:jc w:val="left"/>
            </w:pPr>
            <w:r>
              <w:t xml:space="preserve">10%</w:t>
            </w:r>
          </w:p>
        </w:tc>
        <w:tc>
          <w:tcPr/>
          <w:p>
            <w:pPr>
              <w:pStyle w:val="Compact"/>
              <w:jc w:val="left"/>
            </w:pPr>
            <w:r>
              <w:t xml:space="preserve">9.70</w:t>
            </w:r>
          </w:p>
        </w:tc>
      </w:tr>
      <w:tr>
        <w:tc>
          <w:tcPr/>
          <w:p>
            <w:pPr>
              <w:pStyle w:val="Compact"/>
              <w:jc w:val="left"/>
            </w:pPr>
            <w:r>
              <w:t xml:space="preserve">2</w:t>
            </w:r>
          </w:p>
        </w:tc>
        <w:tc>
          <w:tcPr/>
          <w:p>
            <w:pPr>
              <w:pStyle w:val="Compact"/>
              <w:jc w:val="left"/>
            </w:pPr>
            <w:r>
              <w:t xml:space="preserve">Ibuprofen 600mg Tablets – 20 tabs (Prescription)</w:t>
            </w:r>
          </w:p>
        </w:tc>
        <w:tc>
          <w:tcPr/>
          <w:p>
            <w:pPr>
              <w:pStyle w:val="Compact"/>
              <w:jc w:val="left"/>
            </w:pPr>
            <w:r>
              <w:t xml:space="preserve">IBU-600-20</w:t>
            </w:r>
          </w:p>
        </w:tc>
        <w:tc>
          <w:tcPr/>
          <w:p>
            <w:pPr>
              <w:pStyle w:val="Compact"/>
              <w:jc w:val="left"/>
            </w:pPr>
            <w:r>
              <w:t xml:space="preserve">1 box</w:t>
            </w:r>
          </w:p>
        </w:tc>
        <w:tc>
          <w:tcPr/>
          <w:p>
            <w:pPr>
              <w:pStyle w:val="Compact"/>
              <w:jc w:val="left"/>
            </w:pPr>
            <w:r>
              <w:t xml:space="preserve">3.20</w:t>
            </w:r>
          </w:p>
        </w:tc>
        <w:tc>
          <w:tcPr/>
          <w:p>
            <w:pPr>
              <w:pStyle w:val="Compact"/>
              <w:jc w:val="left"/>
            </w:pPr>
            <w:r>
              <w:t xml:space="preserve">10%</w:t>
            </w:r>
          </w:p>
        </w:tc>
        <w:tc>
          <w:tcPr/>
          <w:p>
            <w:pPr>
              <w:pStyle w:val="Compact"/>
              <w:jc w:val="left"/>
            </w:pPr>
            <w:r>
              <w:t xml:space="preserve">3.20</w:t>
            </w:r>
          </w:p>
        </w:tc>
      </w:tr>
      <w:tr>
        <w:tc>
          <w:tcPr/>
          <w:p>
            <w:pPr>
              <w:pStyle w:val="Compact"/>
              <w:jc w:val="left"/>
            </w:pPr>
            <w:r>
              <w:t xml:space="preserve">3</w:t>
            </w:r>
          </w:p>
        </w:tc>
        <w:tc>
          <w:tcPr/>
          <w:p>
            <w:pPr>
              <w:pStyle w:val="Compact"/>
              <w:jc w:val="left"/>
            </w:pPr>
            <w:r>
              <w:t xml:space="preserve">Omeprazole 20mg Gastro-resistant Capsules – 28 caps (Prescription)</w:t>
            </w:r>
          </w:p>
        </w:tc>
        <w:tc>
          <w:tcPr/>
          <w:p>
            <w:pPr>
              <w:pStyle w:val="Compact"/>
              <w:jc w:val="left"/>
            </w:pPr>
            <w:r>
              <w:t xml:space="preserve">OMP-20-28</w:t>
            </w:r>
          </w:p>
        </w:tc>
        <w:tc>
          <w:tcPr/>
          <w:p>
            <w:pPr>
              <w:pStyle w:val="Compact"/>
              <w:jc w:val="left"/>
            </w:pPr>
            <w:r>
              <w:t xml:space="preserve">1 box</w:t>
            </w:r>
          </w:p>
        </w:tc>
        <w:tc>
          <w:tcPr/>
          <w:p>
            <w:pPr>
              <w:pStyle w:val="Compact"/>
              <w:jc w:val="left"/>
            </w:pPr>
            <w:r>
              <w:t xml:space="preserve">5.60</w:t>
            </w:r>
          </w:p>
        </w:tc>
        <w:tc>
          <w:tcPr/>
          <w:p>
            <w:pPr>
              <w:pStyle w:val="Compact"/>
              <w:jc w:val="left"/>
            </w:pPr>
            <w:r>
              <w:t xml:space="preserve">10%</w:t>
            </w:r>
          </w:p>
        </w:tc>
        <w:tc>
          <w:tcPr/>
          <w:p>
            <w:pPr>
              <w:pStyle w:val="Compact"/>
              <w:jc w:val="left"/>
            </w:pPr>
            <w:r>
              <w:t xml:space="preserve">5.60</w:t>
            </w:r>
          </w:p>
        </w:tc>
      </w:tr>
      <w:tr>
        <w:tc>
          <w:tcPr/>
          <w:p>
            <w:pPr>
              <w:pStyle w:val="Compact"/>
              <w:jc w:val="left"/>
            </w:pPr>
            <w:r>
              <w:t xml:space="preserve">4</w:t>
            </w:r>
          </w:p>
        </w:tc>
        <w:tc>
          <w:tcPr/>
          <w:p>
            <w:pPr>
              <w:pStyle w:val="Compact"/>
              <w:jc w:val="left"/>
            </w:pPr>
            <w:r>
              <w:t xml:space="preserve">Salbutamol 100mcg Inhaler – 200 doses (Prescription)</w:t>
            </w:r>
          </w:p>
        </w:tc>
        <w:tc>
          <w:tcPr/>
          <w:p>
            <w:pPr>
              <w:pStyle w:val="Compact"/>
              <w:jc w:val="left"/>
            </w:pPr>
            <w:r>
              <w:t xml:space="preserve">SAL-100-200</w:t>
            </w:r>
          </w:p>
        </w:tc>
        <w:tc>
          <w:tcPr/>
          <w:p>
            <w:pPr>
              <w:pStyle w:val="Compact"/>
              <w:jc w:val="left"/>
            </w:pPr>
            <w:r>
              <w:t xml:space="preserve">1 unit</w:t>
            </w:r>
          </w:p>
        </w:tc>
        <w:tc>
          <w:tcPr/>
          <w:p>
            <w:pPr>
              <w:pStyle w:val="Compact"/>
              <w:jc w:val="left"/>
            </w:pPr>
            <w:r>
              <w:t xml:space="preserve">12.45</w:t>
            </w:r>
          </w:p>
        </w:tc>
        <w:tc>
          <w:tcPr/>
          <w:p>
            <w:pPr>
              <w:pStyle w:val="Compact"/>
              <w:jc w:val="left"/>
            </w:pPr>
            <w:r>
              <w:t xml:space="preserve">10%</w:t>
            </w:r>
          </w:p>
        </w:tc>
        <w:tc>
          <w:tcPr/>
          <w:p>
            <w:pPr>
              <w:pStyle w:val="Compact"/>
              <w:jc w:val="left"/>
            </w:pPr>
            <w:r>
              <w:t xml:space="preserve">12.45</w:t>
            </w:r>
          </w:p>
        </w:tc>
      </w:tr>
      <w:tr>
        <w:tc>
          <w:tcPr/>
          <w:p>
            <w:pPr>
              <w:pStyle w:val="Compact"/>
              <w:jc w:val="left"/>
            </w:pPr>
            <w:r>
              <w:t xml:space="preserve">5</w:t>
            </w:r>
          </w:p>
        </w:tc>
        <w:tc>
          <w:tcPr/>
          <w:p>
            <w:pPr>
              <w:pStyle w:val="Compact"/>
              <w:jc w:val="left"/>
            </w:pPr>
            <w:r>
              <w:t xml:space="preserve">Paracetamol 1g Effervescent Tablets – 20 tabs (OTC)</w:t>
            </w:r>
          </w:p>
        </w:tc>
        <w:tc>
          <w:tcPr/>
          <w:p>
            <w:pPr>
              <w:pStyle w:val="Compact"/>
              <w:jc w:val="left"/>
            </w:pPr>
            <w:r>
              <w:t xml:space="preserve">PAR-1000-20</w:t>
            </w:r>
          </w:p>
        </w:tc>
        <w:tc>
          <w:tcPr/>
          <w:p>
            <w:pPr>
              <w:pStyle w:val="Compact"/>
              <w:jc w:val="left"/>
            </w:pPr>
            <w:r>
              <w:t xml:space="preserve">1 box</w:t>
            </w:r>
          </w:p>
        </w:tc>
        <w:tc>
          <w:tcPr/>
          <w:p>
            <w:pPr>
              <w:pStyle w:val="Compact"/>
              <w:jc w:val="left"/>
            </w:pPr>
            <w:r>
              <w:t xml:space="preserve">2.10</w:t>
            </w:r>
          </w:p>
        </w:tc>
        <w:tc>
          <w:tcPr/>
          <w:p>
            <w:pPr>
              <w:pStyle w:val="Compact"/>
              <w:jc w:val="left"/>
            </w:pPr>
            <w:r>
              <w:t xml:space="preserve">10%</w:t>
            </w:r>
          </w:p>
        </w:tc>
        <w:tc>
          <w:tcPr/>
          <w:p>
            <w:pPr>
              <w:pStyle w:val="Compact"/>
              <w:jc w:val="left"/>
            </w:pPr>
            <w:r>
              <w:t xml:space="preserve">2.10</w:t>
            </w:r>
          </w:p>
        </w:tc>
      </w:tr>
      <w:tr>
        <w:tc>
          <w:tcPr/>
          <w:p>
            <w:pPr>
              <w:pStyle w:val="Compact"/>
              <w:jc w:val="left"/>
            </w:pPr>
            <w:r>
              <w:t xml:space="preserve">6</w:t>
            </w:r>
          </w:p>
        </w:tc>
        <w:tc>
          <w:tcPr/>
          <w:p>
            <w:pPr>
              <w:pStyle w:val="Compact"/>
              <w:jc w:val="left"/>
            </w:pPr>
            <w:r>
              <w:t xml:space="preserve">Hydrocortisone Cream 1% – 30g Tube (OTC)</w:t>
            </w:r>
          </w:p>
        </w:tc>
        <w:tc>
          <w:tcPr/>
          <w:p>
            <w:pPr>
              <w:pStyle w:val="Compact"/>
              <w:jc w:val="left"/>
            </w:pPr>
            <w:r>
              <w:t xml:space="preserve">HYD-1-30</w:t>
            </w:r>
          </w:p>
        </w:tc>
        <w:tc>
          <w:tcPr/>
          <w:p>
            <w:pPr>
              <w:pStyle w:val="Compact"/>
              <w:jc w:val="left"/>
            </w:pPr>
            <w:r>
              <w:t xml:space="preserve">1 tube</w:t>
            </w:r>
          </w:p>
        </w:tc>
        <w:tc>
          <w:tcPr/>
          <w:p>
            <w:pPr>
              <w:pStyle w:val="Compact"/>
              <w:jc w:val="left"/>
            </w:pPr>
            <w:r>
              <w:t xml:space="preserve">4.35</w:t>
            </w:r>
          </w:p>
        </w:tc>
        <w:tc>
          <w:tcPr/>
          <w:p>
            <w:pPr>
              <w:pStyle w:val="Compact"/>
              <w:jc w:val="left"/>
            </w:pPr>
            <w:r>
              <w:t xml:space="preserve">10%</w:t>
            </w:r>
          </w:p>
        </w:tc>
        <w:tc>
          <w:tcPr/>
          <w:p>
            <w:pPr>
              <w:pStyle w:val="Compact"/>
              <w:jc w:val="left"/>
            </w:pPr>
            <w:r>
              <w:t xml:space="preserve">4.35</w:t>
            </w:r>
          </w:p>
        </w:tc>
      </w:tr>
      <w:tr>
        <w:tc>
          <w:tcPr/>
          <w:p>
            <w:pPr>
              <w:pStyle w:val="Compact"/>
              <w:jc w:val="left"/>
            </w:pPr>
            <w:r>
              <w:t xml:space="preserve">7</w:t>
            </w:r>
          </w:p>
        </w:tc>
        <w:tc>
          <w:tcPr/>
          <w:p>
            <w:pPr>
              <w:pStyle w:val="Compact"/>
              <w:jc w:val="left"/>
            </w:pPr>
            <w:r>
              <w:t xml:space="preserve">Electrolyte Rehydration Solution – 10 sachets (OTC)</w:t>
            </w:r>
          </w:p>
        </w:tc>
        <w:tc>
          <w:tcPr/>
          <w:p>
            <w:pPr>
              <w:pStyle w:val="Compact"/>
              <w:jc w:val="left"/>
            </w:pPr>
            <w:r>
              <w:t xml:space="preserve">ELE-10</w:t>
            </w:r>
          </w:p>
        </w:tc>
        <w:tc>
          <w:tcPr/>
          <w:p>
            <w:pPr>
              <w:pStyle w:val="Compact"/>
              <w:jc w:val="left"/>
            </w:pPr>
            <w:r>
              <w:t xml:space="preserve">1 pack</w:t>
            </w:r>
          </w:p>
        </w:tc>
        <w:tc>
          <w:tcPr/>
          <w:p>
            <w:pPr>
              <w:pStyle w:val="Compact"/>
              <w:jc w:val="left"/>
            </w:pPr>
            <w:r>
              <w:t xml:space="preserve">3.80</w:t>
            </w:r>
          </w:p>
        </w:tc>
        <w:tc>
          <w:tcPr/>
          <w:p>
            <w:pPr>
              <w:pStyle w:val="Compact"/>
              <w:jc w:val="left"/>
            </w:pPr>
            <w:r>
              <w:t xml:space="preserve">10%</w:t>
            </w:r>
          </w:p>
        </w:tc>
        <w:tc>
          <w:tcPr/>
          <w:p>
            <w:pPr>
              <w:pStyle w:val="Compact"/>
              <w:jc w:val="left"/>
            </w:pPr>
            <w:r>
              <w:t xml:space="preserve">3.80</w:t>
            </w:r>
          </w:p>
        </w:tc>
      </w:tr>
      <w:tr>
        <w:tc>
          <w:tcPr/>
          <w:p>
            <w:pPr>
              <w:pStyle w:val="Compact"/>
              <w:jc w:val="left"/>
            </w:pPr>
            <w:r>
              <w:t xml:space="preserve">8</w:t>
            </w:r>
          </w:p>
        </w:tc>
        <w:tc>
          <w:tcPr/>
          <w:p>
            <w:pPr>
              <w:pStyle w:val="Compact"/>
              <w:jc w:val="left"/>
            </w:pPr>
            <w:r>
              <w:t xml:space="preserve">Digital Blood Pressure Monitor – Omron M3 (OTC)</w:t>
            </w:r>
          </w:p>
        </w:tc>
        <w:tc>
          <w:tcPr/>
          <w:p>
            <w:pPr>
              <w:pStyle w:val="Compact"/>
              <w:jc w:val="left"/>
            </w:pPr>
            <w:r>
              <w:t xml:space="preserve">BP-OMR-M3</w:t>
            </w:r>
          </w:p>
        </w:tc>
        <w:tc>
          <w:tcPr/>
          <w:p>
            <w:pPr>
              <w:pStyle w:val="Compact"/>
              <w:jc w:val="left"/>
            </w:pPr>
            <w:r>
              <w:t xml:space="preserve">1 unit</w:t>
            </w:r>
          </w:p>
        </w:tc>
        <w:tc>
          <w:tcPr/>
          <w:p>
            <w:pPr>
              <w:pStyle w:val="Compact"/>
              <w:jc w:val="left"/>
            </w:pPr>
            <w:r>
              <w:t xml:space="preserve">34.99</w:t>
            </w:r>
          </w:p>
        </w:tc>
        <w:tc>
          <w:tcPr/>
          <w:p>
            <w:pPr>
              <w:pStyle w:val="Compact"/>
              <w:jc w:val="left"/>
            </w:pPr>
            <w:r>
              <w:t xml:space="preserve">21%</w:t>
            </w:r>
          </w:p>
        </w:tc>
        <w:tc>
          <w:tcPr/>
          <w:p>
            <w:pPr>
              <w:pStyle w:val="Compact"/>
              <w:jc w:val="left"/>
            </w:pPr>
            <w:r>
              <w:t xml:space="preserve">34.99</w:t>
            </w:r>
          </w:p>
        </w:tc>
      </w:tr>
      <w:tr>
        <w:tc>
          <w:tcPr/>
          <w:p>
            <w:pPr>
              <w:pStyle w:val="Compact"/>
              <w:jc w:val="left"/>
            </w:pPr>
            <w:r>
              <w:t xml:space="preserve">9</w:t>
            </w:r>
          </w:p>
        </w:tc>
        <w:tc>
          <w:tcPr/>
          <w:p>
            <w:pPr>
              <w:pStyle w:val="Compact"/>
              <w:jc w:val="left"/>
            </w:pPr>
            <w:r>
              <w:t xml:space="preserve">Pharmacy Consultation &amp; Medication Review Service</w:t>
            </w:r>
          </w:p>
        </w:tc>
        <w:tc>
          <w:tcPr/>
          <w:p>
            <w:pPr>
              <w:pStyle w:val="Compact"/>
              <w:jc w:val="left"/>
            </w:pPr>
            <w:r>
              <w:t xml:space="preserve">SVC-CONSULT</w:t>
            </w:r>
          </w:p>
        </w:tc>
        <w:tc>
          <w:tcPr/>
          <w:p>
            <w:pPr>
              <w:pStyle w:val="Compact"/>
              <w:jc w:val="left"/>
            </w:pPr>
            <w:r>
              <w:t xml:space="preserve">1 session</w:t>
            </w:r>
          </w:p>
        </w:tc>
        <w:tc>
          <w:tcPr/>
          <w:p>
            <w:pPr>
              <w:pStyle w:val="Compact"/>
              <w:jc w:val="left"/>
            </w:pPr>
            <w:r>
              <w:t xml:space="preserve">8.00</w:t>
            </w:r>
          </w:p>
        </w:tc>
        <w:tc>
          <w:tcPr/>
          <w:p>
            <w:pPr>
              <w:pStyle w:val="Compact"/>
              <w:jc w:val="left"/>
            </w:pPr>
            <w:r>
              <w:t xml:space="preserve">21%</w:t>
            </w:r>
          </w:p>
        </w:tc>
        <w:tc>
          <w:tcPr/>
          <w:p>
            <w:pPr>
              <w:pStyle w:val="Compact"/>
              <w:jc w:val="left"/>
            </w:pPr>
            <w:r>
              <w:t xml:space="preserve">8.00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IVA)</w:t>
            </w:r>
          </w:p>
        </w:tc>
        <w:tc>
          <w:tcPr/>
          <w:p>
            <w:pPr>
              <w:pStyle w:val="Compact"/>
              <w:jc w:val="right"/>
            </w:pPr>
            <w:r>
              <w:t xml:space="preserve">84.19 €</w:t>
            </w:r>
          </w:p>
        </w:tc>
      </w:tr>
      <w:tr>
        <w:tc>
          <w:tcPr/>
          <w:p>
            <w:pPr>
              <w:pStyle w:val="Compact"/>
              <w:jc w:val="left"/>
            </w:pPr>
            <w:r>
              <w:t xml:space="preserve">IVA 10% (Pharmaceutical Products)</w:t>
            </w:r>
          </w:p>
        </w:tc>
        <w:tc>
          <w:tcPr/>
          <w:p>
            <w:pPr>
              <w:pStyle w:val="Compact"/>
              <w:jc w:val="right"/>
            </w:pPr>
            <w:r>
              <w:t xml:space="preserve">8.42 €</w:t>
            </w:r>
          </w:p>
        </w:tc>
      </w:tr>
      <w:tr>
        <w:tc>
          <w:tcPr/>
          <w:p>
            <w:pPr>
              <w:pStyle w:val="Compact"/>
              <w:jc w:val="left"/>
            </w:pPr>
            <w:r>
              <w:t xml:space="preserve">IVA 21% (Non-Pharmaceutical Items &amp; Services)</w:t>
            </w:r>
          </w:p>
        </w:tc>
        <w:tc>
          <w:tcPr/>
          <w:p>
            <w:pPr>
              <w:pStyle w:val="Compact"/>
              <w:jc w:val="right"/>
            </w:pPr>
            <w:r>
              <w:t xml:space="preserve">9.94 €</w:t>
            </w:r>
          </w:p>
        </w:tc>
      </w:tr>
      <w:tr>
        <w:tc>
          <w:tcPr/>
          <w:p>
            <w:pPr>
              <w:pStyle w:val="Compact"/>
              <w:jc w:val="left"/>
            </w:pPr>
            <w:r>
              <w:t xml:space="preserve">Insurance Co-payment (MGS – 40% covered)</w:t>
            </w:r>
          </w:p>
        </w:tc>
        <w:tc>
          <w:tcPr/>
          <w:p>
            <w:pPr>
              <w:pStyle w:val="Compact"/>
              <w:jc w:val="right"/>
            </w:pPr>
            <w:r>
              <w:t xml:space="preserve">-14.27 €</w:t>
            </w:r>
          </w:p>
        </w:tc>
      </w:tr>
      <w:tr>
        <w:tc>
          <w:tcPr/>
          <w:p>
            <w:pPr>
              <w:pStyle w:val="Compact"/>
              <w:jc w:val="left"/>
            </w:pPr>
            <w:r>
              <w:t xml:space="preserve">TOTAL DUE</w:t>
            </w:r>
          </w:p>
        </w:tc>
        <w:tc>
          <w:tcPr/>
          <w:p>
            <w:pPr>
              <w:pStyle w:val="Compact"/>
              <w:jc w:val="right"/>
            </w:pPr>
            <w:r>
              <w:t xml:space="preserve">88.28 €</w:t>
            </w:r>
          </w:p>
        </w:tc>
      </w:tr>
    </w:tbl>
    <w:bookmarkStart w:id="24" w:name="important-notes-legal-information"/>
    <w:p>
      <w:pPr>
        <w:pStyle w:val="Heading3"/>
      </w:pPr>
      <w:r>
        <w:t xml:space="preserve">Important Notes &amp; Legal Information</w:t>
      </w:r>
    </w:p>
    <w:p>
      <w:pPr>
        <w:numPr>
          <w:ilvl w:val="0"/>
          <w:numId w:val="1001"/>
        </w:numPr>
        <w:pStyle w:val="Compact"/>
      </w:pPr>
      <w:r>
        <w:t xml:space="preserve">This Invoice has been issued by Farmacia Central Madrid, a registered Chemist establishment operating under the jurisdiction of the Colegio Oficial de Farmacéuticos de Madrid, Spain. All pharmaceutical products dispensed comply with the regulations set forth by the Agencia Española de Medicamentos y Productos Sanitarios (AEMPS).</w:t>
      </w:r>
    </w:p>
    <w:p>
      <w:pPr>
        <w:numPr>
          <w:ilvl w:val="0"/>
          <w:numId w:val="1001"/>
        </w:numPr>
        <w:pStyle w:val="Compact"/>
      </w:pPr>
      <w:r>
        <w:t xml:space="preserve">Prescription items (lines 1–4) were dispensed in accordance with the valid prescription issued by Dr. Antonio Vega Martín. The original prescription has been retained by this Chemist in compliance with Spanish pharmaceutical law (Ley 29/1994 de Garantías y Uso Racional de los Medicamentos de Uso Humano).</w:t>
      </w:r>
    </w:p>
    <w:p>
      <w:pPr>
        <w:numPr>
          <w:ilvl w:val="0"/>
          <w:numId w:val="1001"/>
        </w:numPr>
        <w:pStyle w:val="Compact"/>
      </w:pPr>
      <w:r>
        <w:t xml:space="preserve">Over-the-counter (OTC) products (lines 5–8) were sold without a prescription after appropriate consultation by the on-duty Chemist. The customer acknowledges having received adequate information regarding dosage, contraindications, and potential side effects.</w:t>
      </w:r>
    </w:p>
    <w:p>
      <w:pPr>
        <w:numPr>
          <w:ilvl w:val="0"/>
          <w:numId w:val="1001"/>
        </w:numPr>
        <w:pStyle w:val="Compact"/>
      </w:pPr>
      <w:r>
        <w:t xml:space="preserve">Value Added Tax (IVA) is applied at 10% for essential pharmaceutical products and 21% for non-pharmaceutical goods and professional services, in accordance with the Spanish Tax Code (Ley 37/1992 del IVA).</w:t>
      </w:r>
    </w:p>
    <w:p>
      <w:pPr>
        <w:numPr>
          <w:ilvl w:val="0"/>
          <w:numId w:val="1001"/>
        </w:numPr>
        <w:pStyle w:val="Compact"/>
      </w:pPr>
      <w:r>
        <w:t xml:space="preserve">Payment was settled in full on the date of this Invoice via debit card (Visa ending in 4821). No outstanding balance remains. This Invoice serves as the official receipt for tax and insurance reimbursement purposes in Madrid, Spain.</w:t>
      </w:r>
    </w:p>
    <w:p>
      <w:pPr>
        <w:numPr>
          <w:ilvl w:val="0"/>
          <w:numId w:val="1001"/>
        </w:numPr>
        <w:pStyle w:val="Compact"/>
      </w:pPr>
      <w:r>
        <w:t xml:space="preserve">Any returns or exchanges of unopened pharmaceutical products must be presented to this Chemist within 30 calendar days of the purchase date, accompanied by this Invoice and the original packaging. Perishable items and compounded preparations are non-returnable.</w:t>
      </w:r>
    </w:p>
    <w:p>
      <w:pPr>
        <w:numPr>
          <w:ilvl w:val="0"/>
          <w:numId w:val="1001"/>
        </w:numPr>
        <w:pStyle w:val="Compact"/>
      </w:pPr>
      <w:r>
        <w:t xml:space="preserve">This document is valid as a fiscal Invoice under the regulations of the Agencia Tributaria (Spanish Tax Agency). For any queries regarding this Invoice, please contact the Chemist at the address stated above or reference Invoice Number FCM-2025-004872 in all correspondence.</w:t>
      </w:r>
    </w:p>
    <w:p>
      <w:pPr>
        <w:numPr>
          <w:ilvl w:val="0"/>
          <w:numId w:val="1001"/>
        </w:numPr>
        <w:pStyle w:val="Compact"/>
      </w:pPr>
      <w:r>
        <w:t xml:space="preserve">The customer's personal data processed in this Invoice is handled in strict compliance with the General Data Protection Regulation (GDPR) and the Spanish Organic Law 3/2018 on Personal Data Protection and Guarantee of Digital Rights.</w:t>
      </w:r>
    </w:p>
    <w:bookmarkEnd w:id="24"/>
    <w:p>
      <w:pPr>
        <w:pStyle w:val="FirstParagraph"/>
      </w:pPr>
      <w:r>
        <w:rPr>
          <w:bCs/>
          <w:b/>
        </w:rPr>
        <w:t xml:space="preserve">Farmacia Central Madrid</w:t>
      </w:r>
      <w:r>
        <w:t xml:space="preserve"> </w:t>
      </w:r>
      <w:r>
        <w:t xml:space="preserve">– Your Trusted Chemist in the Heart of Madrid, Spain</w:t>
      </w:r>
    </w:p>
    <w:p>
      <w:pPr>
        <w:pStyle w:val="BodyText"/>
      </w:pPr>
      <w:r>
        <w:t xml:space="preserve">Calle Gran Vía, 42, 28013 Madrid, Spain | NIF: B-87654321 | Tel: +34 915 55 12 34</w:t>
      </w:r>
    </w:p>
    <w:p>
      <w:pPr>
        <w:pStyle w:val="BodyText"/>
      </w:pPr>
      <w:r>
        <w:t xml:space="preserve">Registered with the Colegio Oficial de Farmacéuticos de Madrid | AEMPS License Nº 28/04567</w:t>
      </w:r>
    </w:p>
    <w:p>
      <w:pPr>
        <w:pStyle w:val="BodyText"/>
      </w:pPr>
      <w:r>
        <w:t xml:space="preserve">Opening Hours: Mon–Sat 9:00–21:00 | Sun &amp; Holidays 9:00–14:00 | 24h Emergency Service Available</w:t>
      </w:r>
    </w:p>
    <w:p>
      <w:pPr>
        <w:pStyle w:val="BodyText"/>
      </w:pPr>
      <w:r>
        <w:t xml:space="preserve">This Invoice was generated electronically and is valid without a physical signature. Thank you for choosing our Chemist in Madrid, Spain.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Chemist Madrid, Spain</dc:title>
  <dc:creator/>
  <dc:language>en</dc:language>
  <cp:keywords/>
  <dcterms:created xsi:type="dcterms:W3CDTF">2026-10-10T01:53:44Z</dcterms:created>
  <dcterms:modified xsi:type="dcterms:W3CDTF">2026-10-10T01:53:44Z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