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Valencia,</w:t>
      </w:r>
      <w:r>
        <w:t xml:space="preserve"> </w:t>
      </w:r>
      <w:r>
        <w:t xml:space="preserve">Spain</w:t>
      </w:r>
    </w:p>
    <w:bookmarkStart w:id="20" w:name="farmacia-del-turia"/>
    <w:p>
      <w:pPr>
        <w:pStyle w:val="Heading1"/>
      </w:pPr>
      <w:r>
        <w:t xml:space="preserve">Farmacia del Turia</w:t>
      </w:r>
    </w:p>
    <w:p>
      <w:pPr>
        <w:pStyle w:val="FirstParagraph"/>
      </w:pPr>
      <w:r>
        <w:rPr>
          <w:bCs/>
          <w:b/>
        </w:rPr>
        <w:t xml:space="preserve">Chemist &amp; Pharmacy Services</w:t>
      </w:r>
    </w:p>
    <w:p>
      <w:pPr>
        <w:pStyle w:val="BodyText"/>
      </w:pPr>
      <w:r>
        <w:t xml:space="preserve">Carrer de la Pau, 47, 46002</w:t>
      </w:r>
    </w:p>
    <w:p>
      <w:pPr>
        <w:pStyle w:val="BodyText"/>
      </w:pPr>
      <w:r>
        <w:t xml:space="preserve">Valencia, Spain</w:t>
      </w:r>
    </w:p>
    <w:p>
      <w:pPr>
        <w:pStyle w:val="BodyText"/>
      </w:pPr>
      <w:r>
        <w:t xml:space="preserve">Tel: +34 963 123 456</w:t>
      </w:r>
    </w:p>
    <w:p>
      <w:pPr>
        <w:pStyle w:val="BodyText"/>
      </w:pPr>
      <w:r>
        <w:t xml:space="preserve">Email: info@farmaciadelturia.es</w:t>
      </w:r>
    </w:p>
    <w:p>
      <w:pPr>
        <w:pStyle w:val="BodyText"/>
      </w:pPr>
      <w:r>
        <w:t xml:space="preserve">NIF: B-460001234</w:t>
      </w:r>
    </w:p>
    <w:p>
      <w:pPr>
        <w:pStyle w:val="BodyText"/>
      </w:pPr>
      <w:r>
        <w:t xml:space="preserve">Col. Farm. Valencia: 46/12345</w:t>
      </w:r>
    </w:p>
    <w:bookmarkEnd w:id="20"/>
    <w:bookmarkStart w:id="21" w:name="invoice"/>
    <w:p>
      <w:pPr>
        <w:pStyle w:val="Heading2"/>
      </w:pPr>
      <w:r>
        <w:t xml:space="preserve">INVOICE</w:t>
      </w:r>
    </w:p>
    <w:p>
      <w:pPr>
        <w:pStyle w:val="FirstParagraph"/>
      </w:pPr>
      <w:r>
        <w:t xml:space="preserve">Factura</w:t>
      </w:r>
    </w:p>
    <w:p>
      <w:pPr>
        <w:pStyle w:val="BodyText"/>
      </w:pPr>
      <w:r>
        <w:t xml:space="preserve">PAID</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INV-2025-04872</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June 2025 (Immediate Payment)</w:t>
            </w:r>
          </w:p>
        </w:tc>
      </w:tr>
      <w:tr>
        <w:tc>
          <w:tcPr/>
          <w:p>
            <w:pPr>
              <w:pStyle w:val="Compact"/>
              <w:jc w:val="left"/>
            </w:pPr>
            <w:r>
              <w:t xml:space="preserve">Payment Method:</w:t>
            </w:r>
          </w:p>
        </w:tc>
        <w:tc>
          <w:tcPr/>
          <w:p>
            <w:pPr>
              <w:pStyle w:val="Compact"/>
              <w:jc w:val="left"/>
            </w:pPr>
            <w:r>
              <w:t xml:space="preserve">Bank Card (Visa ending in 4821)</w:t>
            </w:r>
          </w:p>
        </w:tc>
      </w:tr>
      <w:tr>
        <w:tc>
          <w:tcPr/>
          <w:p>
            <w:pPr>
              <w:pStyle w:val="Compact"/>
              <w:jc w:val="left"/>
            </w:pPr>
            <w:r>
              <w:t xml:space="preserve">Prescription Ref:</w:t>
            </w:r>
          </w:p>
        </w:tc>
        <w:tc>
          <w:tcPr/>
          <w:p>
            <w:pPr>
              <w:pStyle w:val="Compact"/>
              <w:jc w:val="left"/>
            </w:pPr>
            <w:r>
              <w:t xml:space="preserve">Rx-2025-0091834 (Issued by Dr. M. Serrano, Hospital Dr. Peset, Valencia)</w:t>
            </w:r>
          </w:p>
        </w:tc>
      </w:tr>
      <w:tr>
        <w:tc>
          <w:tcPr/>
          <w:p>
            <w:pPr>
              <w:pStyle w:val="Compact"/>
              <w:jc w:val="left"/>
            </w:pPr>
            <w:r>
              <w:t xml:space="preserve">Chemist On Duty:</w:t>
            </w:r>
          </w:p>
        </w:tc>
        <w:tc>
          <w:tcPr/>
          <w:p>
            <w:pPr>
              <w:pStyle w:val="Compact"/>
              <w:jc w:val="left"/>
            </w:pPr>
            <w:r>
              <w:t xml:space="preserve">Pharm. Lucía Navarro García, Col. 46/12345</w:t>
            </w:r>
          </w:p>
        </w:tc>
      </w:tr>
    </w:tbl>
    <w:p>
      <w:pPr>
        <w:pStyle w:val="BodyText"/>
      </w:pPr>
      <w:r>
        <w:t xml:space="preserve">Billed To /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Don Alejandro Martínez Ruiz</w:t>
            </w:r>
          </w:p>
        </w:tc>
      </w:tr>
      <w:tr>
        <w:tc>
          <w:tcPr/>
          <w:p>
            <w:pPr>
              <w:pStyle w:val="Compact"/>
              <w:jc w:val="left"/>
            </w:pPr>
            <w:r>
              <w:t xml:space="preserve">DNI / NIE:</w:t>
            </w:r>
          </w:p>
        </w:tc>
        <w:tc>
          <w:tcPr/>
          <w:p>
            <w:pPr>
              <w:pStyle w:val="Compact"/>
              <w:jc w:val="left"/>
            </w:pPr>
            <w:r>
              <w:t xml:space="preserve">12345678A</w:t>
            </w:r>
          </w:p>
        </w:tc>
      </w:tr>
      <w:tr>
        <w:tc>
          <w:tcPr/>
          <w:p>
            <w:pPr>
              <w:pStyle w:val="Compact"/>
              <w:jc w:val="left"/>
            </w:pPr>
            <w:r>
              <w:t xml:space="preserve">Address:</w:t>
            </w:r>
          </w:p>
        </w:tc>
        <w:tc>
          <w:tcPr/>
          <w:p>
            <w:pPr>
              <w:pStyle w:val="Compact"/>
              <w:jc w:val="left"/>
            </w:pPr>
            <w:r>
              <w:t xml:space="preserve">Avinguda del Cid, 23, 3ºB, 46003 Valencia, Spain</w:t>
            </w:r>
          </w:p>
        </w:tc>
      </w:tr>
      <w:tr>
        <w:tc>
          <w:tcPr/>
          <w:p>
            <w:pPr>
              <w:pStyle w:val="Compact"/>
              <w:jc w:val="left"/>
            </w:pPr>
            <w:r>
              <w:t xml:space="preserve">Health Insurance:</w:t>
            </w:r>
          </w:p>
        </w:tc>
        <w:tc>
          <w:tcPr/>
          <w:p>
            <w:pPr>
              <w:pStyle w:val="Compact"/>
              <w:jc w:val="left"/>
            </w:pPr>
            <w:r>
              <w:t xml:space="preserve">Seguridad Social (Public Health System, Spain)</w:t>
            </w:r>
          </w:p>
        </w:tc>
      </w:tr>
    </w:tbl>
    <w:p>
      <w:pPr>
        <w:pStyle w:val="BodyText"/>
      </w:pPr>
      <w:r>
        <w:t xml:space="preserve">Items Dispensed by the Chemist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Formulation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Amoxicillin 500 mg (Prescription Medication)</w:t>
            </w:r>
          </w:p>
        </w:tc>
        <w:tc>
          <w:tcPr/>
          <w:p>
            <w:pPr>
              <w:pStyle w:val="Compact"/>
              <w:jc w:val="left"/>
            </w:pPr>
            <w:r>
              <w:t xml:space="preserve">21 capsules, 500 mg each</w:t>
            </w:r>
          </w:p>
        </w:tc>
        <w:tc>
          <w:tcPr/>
          <w:p>
            <w:pPr>
              <w:pStyle w:val="Compact"/>
              <w:jc w:val="left"/>
            </w:pPr>
            <w:r>
              <w:t xml:space="preserve">1</w:t>
            </w:r>
          </w:p>
        </w:tc>
        <w:tc>
          <w:tcPr/>
          <w:p>
            <w:pPr>
              <w:pStyle w:val="Compact"/>
              <w:jc w:val="left"/>
            </w:pPr>
            <w:r>
              <w:t xml:space="preserve">8.45</w:t>
            </w:r>
          </w:p>
        </w:tc>
        <w:tc>
          <w:tcPr/>
          <w:p>
            <w:pPr>
              <w:pStyle w:val="Compact"/>
              <w:jc w:val="left"/>
            </w:pPr>
            <w:r>
              <w:t xml:space="preserve">8.45</w:t>
            </w:r>
          </w:p>
        </w:tc>
      </w:tr>
      <w:tr>
        <w:tc>
          <w:tcPr/>
          <w:p>
            <w:pPr>
              <w:pStyle w:val="Compact"/>
              <w:jc w:val="left"/>
            </w:pPr>
            <w:r>
              <w:t xml:space="preserve">02</w:t>
            </w:r>
          </w:p>
        </w:tc>
        <w:tc>
          <w:tcPr/>
          <w:p>
            <w:pPr>
              <w:pStyle w:val="Compact"/>
              <w:jc w:val="left"/>
            </w:pPr>
            <w:r>
              <w:t xml:space="preserve">Paracetamol 1000 mg (Over-the-Counter)</w:t>
            </w:r>
          </w:p>
        </w:tc>
        <w:tc>
          <w:tcPr/>
          <w:p>
            <w:pPr>
              <w:pStyle w:val="Compact"/>
              <w:jc w:val="left"/>
            </w:pPr>
            <w:r>
              <w:t xml:space="preserve">20 tablets, 1000 mg each</w:t>
            </w:r>
          </w:p>
        </w:tc>
        <w:tc>
          <w:tcPr/>
          <w:p>
            <w:pPr>
              <w:pStyle w:val="Compact"/>
              <w:jc w:val="left"/>
            </w:pPr>
            <w:r>
              <w:t xml:space="preserve">2</w:t>
            </w:r>
          </w:p>
        </w:tc>
        <w:tc>
          <w:tcPr/>
          <w:p>
            <w:pPr>
              <w:pStyle w:val="Compact"/>
              <w:jc w:val="left"/>
            </w:pPr>
            <w:r>
              <w:t xml:space="preserve">3.20</w:t>
            </w:r>
          </w:p>
        </w:tc>
        <w:tc>
          <w:tcPr/>
          <w:p>
            <w:pPr>
              <w:pStyle w:val="Compact"/>
              <w:jc w:val="left"/>
            </w:pPr>
            <w:r>
              <w:t xml:space="preserve">6.40</w:t>
            </w:r>
          </w:p>
        </w:tc>
      </w:tr>
      <w:tr>
        <w:tc>
          <w:tcPr/>
          <w:p>
            <w:pPr>
              <w:pStyle w:val="Compact"/>
              <w:jc w:val="left"/>
            </w:pPr>
            <w:r>
              <w:t xml:space="preserve">03</w:t>
            </w:r>
          </w:p>
        </w:tc>
        <w:tc>
          <w:tcPr/>
          <w:p>
            <w:pPr>
              <w:pStyle w:val="Compact"/>
              <w:jc w:val="left"/>
            </w:pPr>
            <w:r>
              <w:t xml:space="preserve">Atorvastatin 20 mg (Prescription Medication)</w:t>
            </w:r>
          </w:p>
        </w:tc>
        <w:tc>
          <w:tcPr/>
          <w:p>
            <w:pPr>
              <w:pStyle w:val="Compact"/>
              <w:jc w:val="left"/>
            </w:pPr>
            <w:r>
              <w:t xml:space="preserve">30 tablets, 20 mg each</w:t>
            </w:r>
          </w:p>
        </w:tc>
        <w:tc>
          <w:tcPr/>
          <w:p>
            <w:pPr>
              <w:pStyle w:val="Compact"/>
              <w:jc w:val="left"/>
            </w:pPr>
            <w:r>
              <w:t xml:space="preserve">1</w:t>
            </w:r>
          </w:p>
        </w:tc>
        <w:tc>
          <w:tcPr/>
          <w:p>
            <w:pPr>
              <w:pStyle w:val="Compact"/>
              <w:jc w:val="left"/>
            </w:pPr>
            <w:r>
              <w:t xml:space="preserve">4.80</w:t>
            </w:r>
          </w:p>
        </w:tc>
        <w:tc>
          <w:tcPr/>
          <w:p>
            <w:pPr>
              <w:pStyle w:val="Compact"/>
              <w:jc w:val="left"/>
            </w:pPr>
            <w:r>
              <w:t xml:space="preserve">4.80</w:t>
            </w:r>
          </w:p>
        </w:tc>
      </w:tr>
      <w:tr>
        <w:tc>
          <w:tcPr/>
          <w:p>
            <w:pPr>
              <w:pStyle w:val="Compact"/>
              <w:jc w:val="left"/>
            </w:pPr>
            <w:r>
              <w:t xml:space="preserve">04</w:t>
            </w:r>
          </w:p>
        </w:tc>
        <w:tc>
          <w:tcPr/>
          <w:p>
            <w:pPr>
              <w:pStyle w:val="Compact"/>
              <w:jc w:val="left"/>
            </w:pPr>
            <w:r>
              <w:t xml:space="preserve">Metformina 850 mg (Prescription Medication)</w:t>
            </w:r>
          </w:p>
        </w:tc>
        <w:tc>
          <w:tcPr/>
          <w:p>
            <w:pPr>
              <w:pStyle w:val="Compact"/>
              <w:jc w:val="left"/>
            </w:pPr>
            <w:r>
              <w:t xml:space="preserve">60 tablets, 850 mg each</w:t>
            </w:r>
          </w:p>
        </w:tc>
        <w:tc>
          <w:tcPr/>
          <w:p>
            <w:pPr>
              <w:pStyle w:val="Compact"/>
              <w:jc w:val="left"/>
            </w:pPr>
            <w:r>
              <w:t xml:space="preserve">1</w:t>
            </w:r>
          </w:p>
        </w:tc>
        <w:tc>
          <w:tcPr/>
          <w:p>
            <w:pPr>
              <w:pStyle w:val="Compact"/>
              <w:jc w:val="left"/>
            </w:pPr>
            <w:r>
              <w:t xml:space="preserve">5.60</w:t>
            </w:r>
          </w:p>
        </w:tc>
        <w:tc>
          <w:tcPr/>
          <w:p>
            <w:pPr>
              <w:pStyle w:val="Compact"/>
              <w:jc w:val="left"/>
            </w:pPr>
            <w:r>
              <w:t xml:space="preserve">5.60</w:t>
            </w:r>
          </w:p>
        </w:tc>
      </w:tr>
      <w:tr>
        <w:tc>
          <w:tcPr/>
          <w:p>
            <w:pPr>
              <w:pStyle w:val="Compact"/>
              <w:jc w:val="left"/>
            </w:pPr>
            <w:r>
              <w:t xml:space="preserve">05</w:t>
            </w:r>
          </w:p>
        </w:tc>
        <w:tc>
          <w:tcPr/>
          <w:p>
            <w:pPr>
              <w:pStyle w:val="Compact"/>
              <w:jc w:val="left"/>
            </w:pPr>
            <w:r>
              <w:t xml:space="preserve">Salbutamol Inhaler 100 mcg (Prescription)</w:t>
            </w:r>
          </w:p>
        </w:tc>
        <w:tc>
          <w:tcPr/>
          <w:p>
            <w:pPr>
              <w:pStyle w:val="Compact"/>
              <w:jc w:val="left"/>
            </w:pPr>
            <w:r>
              <w:t xml:space="preserve">1 inhaler, 200 doses</w:t>
            </w:r>
          </w:p>
        </w:tc>
        <w:tc>
          <w:tcPr/>
          <w:p>
            <w:pPr>
              <w:pStyle w:val="Compact"/>
              <w:jc w:val="left"/>
            </w:pPr>
            <w:r>
              <w:t xml:space="preserve">1</w:t>
            </w:r>
          </w:p>
        </w:tc>
        <w:tc>
          <w:tcPr/>
          <w:p>
            <w:pPr>
              <w:pStyle w:val="Compact"/>
              <w:jc w:val="left"/>
            </w:pPr>
            <w:r>
              <w:t xml:space="preserve">7.90</w:t>
            </w:r>
          </w:p>
        </w:tc>
        <w:tc>
          <w:tcPr/>
          <w:p>
            <w:pPr>
              <w:pStyle w:val="Compact"/>
              <w:jc w:val="left"/>
            </w:pPr>
            <w:r>
              <w:t xml:space="preserve">7.90</w:t>
            </w:r>
          </w:p>
        </w:tc>
      </w:tr>
      <w:tr>
        <w:tc>
          <w:tcPr/>
          <w:p>
            <w:pPr>
              <w:pStyle w:val="Compact"/>
              <w:jc w:val="left"/>
            </w:pPr>
            <w:r>
              <w:t xml:space="preserve">06</w:t>
            </w:r>
          </w:p>
        </w:tc>
        <w:tc>
          <w:tcPr/>
          <w:p>
            <w:pPr>
              <w:pStyle w:val="Compact"/>
              <w:jc w:val="left"/>
            </w:pPr>
            <w:r>
              <w:t xml:space="preserve">Hydrocortisone Cream 1% (Over-the-Counter)</w:t>
            </w:r>
          </w:p>
        </w:tc>
        <w:tc>
          <w:tcPr/>
          <w:p>
            <w:pPr>
              <w:pStyle w:val="Compact"/>
              <w:jc w:val="left"/>
            </w:pPr>
            <w:r>
              <w:t xml:space="preserve">30 g tube</w:t>
            </w:r>
          </w:p>
        </w:tc>
        <w:tc>
          <w:tcPr/>
          <w:p>
            <w:pPr>
              <w:pStyle w:val="Compact"/>
              <w:jc w:val="left"/>
            </w:pPr>
            <w:r>
              <w:t xml:space="preserve">1</w:t>
            </w:r>
          </w:p>
        </w:tc>
        <w:tc>
          <w:tcPr/>
          <w:p>
            <w:pPr>
              <w:pStyle w:val="Compact"/>
              <w:jc w:val="left"/>
            </w:pPr>
            <w:r>
              <w:t xml:space="preserve">4.35</w:t>
            </w:r>
          </w:p>
        </w:tc>
        <w:tc>
          <w:tcPr/>
          <w:p>
            <w:pPr>
              <w:pStyle w:val="Compact"/>
              <w:jc w:val="left"/>
            </w:pPr>
            <w:r>
              <w:t xml:space="preserve">4.35</w:t>
            </w:r>
          </w:p>
        </w:tc>
      </w:tr>
      <w:tr>
        <w:tc>
          <w:tcPr/>
          <w:p>
            <w:pPr>
              <w:pStyle w:val="Compact"/>
              <w:jc w:val="left"/>
            </w:pPr>
            <w:r>
              <w:t xml:space="preserve">07</w:t>
            </w:r>
          </w:p>
        </w:tc>
        <w:tc>
          <w:tcPr/>
          <w:p>
            <w:pPr>
              <w:pStyle w:val="Compact"/>
              <w:jc w:val="left"/>
            </w:pPr>
            <w:r>
              <w:t xml:space="preserve">Electrolyte Rehydration Solution (OTC)</w:t>
            </w:r>
          </w:p>
        </w:tc>
        <w:tc>
          <w:tcPr/>
          <w:p>
            <w:pPr>
              <w:pStyle w:val="Compact"/>
              <w:jc w:val="left"/>
            </w:pPr>
            <w:r>
              <w:t xml:space="preserve">10 sachets, 20 g each</w:t>
            </w:r>
          </w:p>
        </w:tc>
        <w:tc>
          <w:tcPr/>
          <w:p>
            <w:pPr>
              <w:pStyle w:val="Compact"/>
              <w:jc w:val="left"/>
            </w:pPr>
            <w:r>
              <w:t xml:space="preserve">1</w:t>
            </w:r>
          </w:p>
        </w:tc>
        <w:tc>
          <w:tcPr/>
          <w:p>
            <w:pPr>
              <w:pStyle w:val="Compact"/>
              <w:jc w:val="left"/>
            </w:pPr>
            <w:r>
              <w:t xml:space="preserve">5.10</w:t>
            </w:r>
          </w:p>
        </w:tc>
        <w:tc>
          <w:tcPr/>
          <w:p>
            <w:pPr>
              <w:pStyle w:val="Compact"/>
              <w:jc w:val="left"/>
            </w:pPr>
            <w:r>
              <w:t xml:space="preserve">5.10</w:t>
            </w:r>
          </w:p>
        </w:tc>
      </w:tr>
      <w:tr>
        <w:tc>
          <w:tcPr/>
          <w:p>
            <w:pPr>
              <w:pStyle w:val="Compact"/>
              <w:jc w:val="left"/>
            </w:pPr>
            <w:r>
              <w:t xml:space="preserve">08</w:t>
            </w:r>
          </w:p>
        </w:tc>
        <w:tc>
          <w:tcPr/>
          <w:p>
            <w:pPr>
              <w:pStyle w:val="Compact"/>
              <w:jc w:val="left"/>
            </w:pPr>
            <w:r>
              <w:t xml:space="preserve">Pharmacy Dispensing &amp; Counselling Service</w:t>
            </w:r>
          </w:p>
        </w:tc>
        <w:tc>
          <w:tcPr/>
          <w:p>
            <w:pPr>
              <w:pStyle w:val="Compact"/>
              <w:jc w:val="left"/>
            </w:pPr>
            <w:r>
              <w:t xml:space="preserve">Professional chemist consultation</w:t>
            </w:r>
          </w:p>
        </w:tc>
        <w:tc>
          <w:tcPr/>
          <w:p>
            <w:pPr>
              <w:pStyle w:val="Compact"/>
              <w:jc w:val="left"/>
            </w:pPr>
            <w:r>
              <w:t xml:space="preserve">1</w:t>
            </w:r>
          </w:p>
        </w:tc>
        <w:tc>
          <w:tcPr/>
          <w:p>
            <w:pPr>
              <w:pStyle w:val="Compact"/>
              <w:jc w:val="left"/>
            </w:pPr>
            <w:r>
              <w:t xml:space="preserve">2.50</w:t>
            </w:r>
          </w:p>
        </w:tc>
        <w:tc>
          <w:tcPr/>
          <w:p>
            <w:pPr>
              <w:pStyle w:val="Compact"/>
              <w:jc w:val="left"/>
            </w:pPr>
            <w:r>
              <w:t xml:space="preserve">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IVA):</w:t>
            </w:r>
          </w:p>
        </w:tc>
        <w:tc>
          <w:tcPr/>
          <w:p>
            <w:pPr>
              <w:pStyle w:val="Compact"/>
              <w:jc w:val="left"/>
            </w:pPr>
            <w:r>
              <w:t xml:space="preserve">45.10 €</w:t>
            </w:r>
          </w:p>
        </w:tc>
      </w:tr>
      <w:tr>
        <w:tc>
          <w:tcPr/>
          <w:p>
            <w:pPr>
              <w:pStyle w:val="Compact"/>
              <w:jc w:val="left"/>
            </w:pPr>
            <w:r>
              <w:t xml:space="preserve">IVA (VAT) 21%:</w:t>
            </w:r>
          </w:p>
        </w:tc>
        <w:tc>
          <w:tcPr/>
          <w:p>
            <w:pPr>
              <w:pStyle w:val="Compact"/>
              <w:jc w:val="left"/>
            </w:pPr>
            <w:r>
              <w:t xml:space="preserve">9.47 €</w:t>
            </w:r>
          </w:p>
        </w:tc>
      </w:tr>
      <w:tr>
        <w:tc>
          <w:tcPr/>
          <w:p>
            <w:pPr>
              <w:pStyle w:val="Compact"/>
              <w:jc w:val="left"/>
            </w:pPr>
            <w:r>
              <w:t xml:space="preserve">Public Health System Deduction (Seguridad Social):</w:t>
            </w:r>
          </w:p>
        </w:tc>
        <w:tc>
          <w:tcPr/>
          <w:p>
            <w:pPr>
              <w:pStyle w:val="Compact"/>
              <w:jc w:val="left"/>
            </w:pPr>
            <w:r>
              <w:t xml:space="preserve">-18.20 €</w:t>
            </w:r>
          </w:p>
        </w:tc>
      </w:tr>
      <w:tr>
        <w:tc>
          <w:tcPr/>
          <w:p>
            <w:pPr>
              <w:pStyle w:val="Compact"/>
              <w:jc w:val="left"/>
            </w:pPr>
            <w:r>
              <w:t xml:space="preserve">TOTAL AMOUNT DUE:</w:t>
            </w:r>
          </w:p>
        </w:tc>
        <w:tc>
          <w:tcPr/>
          <w:p>
            <w:pPr>
              <w:pStyle w:val="Compact"/>
              <w:jc w:val="left"/>
            </w:pPr>
            <w:r>
              <w:t xml:space="preserve">36.37 €</w:t>
            </w:r>
          </w:p>
        </w:tc>
      </w:tr>
    </w:tbl>
    <w:p>
      <w:pPr>
        <w:pStyle w:val="BodyText"/>
      </w:pPr>
      <w:r>
        <w:t xml:space="preserve">✓ PAID IN FULL — FARMACIA DEL TURIA, VALENCIA, SPAIN</w:t>
      </w:r>
      <w:r>
        <w:br/>
      </w:r>
      <w:r>
        <w:t xml:space="preserve">Transaction ID: TXN-20250614-0091834 | 14/06/2025 11:42 CET</w:t>
      </w:r>
    </w:p>
    <w:bookmarkStart w:id="22" w:name="important-notes-legal-information"/>
    <w:p>
      <w:pPr>
        <w:pStyle w:val="Heading3"/>
      </w:pPr>
      <w:r>
        <w:t xml:space="preserve">Important Notes &amp; Legal Information</w:t>
      </w:r>
    </w:p>
    <w:p>
      <w:pPr>
        <w:numPr>
          <w:ilvl w:val="0"/>
          <w:numId w:val="1001"/>
        </w:numPr>
        <w:pStyle w:val="Compact"/>
      </w:pPr>
      <w:r>
        <w:t xml:space="preserve">This invoice has been issued by Farmacia del Turia, a registered chemist and pharmacy operating in Valencia, Spain, in full compliance with the Spanish Royal Decree 1010/1989 on the distribution of medicinal products and the Valencian Community pharmacy regulations.</w:t>
      </w:r>
    </w:p>
    <w:p>
      <w:pPr>
        <w:numPr>
          <w:ilvl w:val="0"/>
          <w:numId w:val="1001"/>
        </w:numPr>
        <w:pStyle w:val="Compact"/>
      </w:pPr>
      <w:r>
        <w:t xml:space="preserve">All prescription medications listed above were dispensed by a licensed chemist (Pharm. Lucía Navarro García) following verification of the valid prescription issued by a registered medical practitioner in Spain. The original prescription has been retained by the pharmacy as required by Spanish law.</w:t>
      </w:r>
    </w:p>
    <w:p>
      <w:pPr>
        <w:numPr>
          <w:ilvl w:val="0"/>
          <w:numId w:val="1001"/>
        </w:numPr>
        <w:pStyle w:val="Compact"/>
      </w:pPr>
      <w:r>
        <w:t xml:space="preserve">The Public Health System (Seguridad Social) deduction reflects the standard co-payment percentage applicable to the client's category under the Spanish national health system. The client is responsible for the remaining balance as indicated in the total.</w:t>
      </w:r>
    </w:p>
    <w:p>
      <w:pPr>
        <w:numPr>
          <w:ilvl w:val="0"/>
          <w:numId w:val="1001"/>
        </w:numPr>
        <w:pStyle w:val="Compact"/>
      </w:pPr>
      <w:r>
        <w:t xml:space="preserve">IVA (Impuesto sobre el Valor Añadido) is applied at the standard rate of 21% as per Spanish tax legislation (Ley 37/1992 del IVA). Certain prescription medications may be subject to reduced VAT rates; the applicable rate has been calculated accordingly for each line item.</w:t>
      </w:r>
    </w:p>
    <w:p>
      <w:pPr>
        <w:numPr>
          <w:ilvl w:val="0"/>
          <w:numId w:val="1001"/>
        </w:numPr>
        <w:pStyle w:val="Compact"/>
      </w:pPr>
      <w:r>
        <w:t xml:space="preserve">The client is advised to store all dispensed medications as directed by the chemist or as indicated on the product packaging. Prescription medications must not be shared with other individuals. In the event of adverse reactions, the client should contact the dispensing chemist or their attending physician immediately.</w:t>
      </w:r>
    </w:p>
    <w:p>
      <w:pPr>
        <w:numPr>
          <w:ilvl w:val="0"/>
          <w:numId w:val="1001"/>
        </w:numPr>
        <w:pStyle w:val="Compact"/>
      </w:pPr>
      <w:r>
        <w:t xml:space="preserve">This invoice serves as the official fiscal document for the transaction. In accordance with Spanish invoicing regulations (Ley 58/2003 General Tax Law), this document must be retained by the client for a minimum period of four years for tax and reimbursement purposes.</w:t>
      </w:r>
    </w:p>
    <w:p>
      <w:pPr>
        <w:numPr>
          <w:ilvl w:val="0"/>
          <w:numId w:val="1001"/>
        </w:numPr>
        <w:pStyle w:val="Compact"/>
      </w:pPr>
      <w:r>
        <w:t xml:space="preserve">For any queries regarding this invoice, medication interactions, or dosage instructions, please contact the chemist at Farmacia del Turia during opening hours (Monday to Friday: 09:00–20:30; Saturday: 09:30–14:00) or call the pharmacy directly. The pharmacy is located in the heart of Valencia, Spain, near the Turia River gardens.</w:t>
      </w:r>
    </w:p>
    <w:p>
      <w:pPr>
        <w:numPr>
          <w:ilvl w:val="0"/>
          <w:numId w:val="1001"/>
        </w:numPr>
        <w:pStyle w:val="Compact"/>
      </w:pPr>
      <w:r>
        <w:t xml:space="preserve">This document is valid as a fiscal invoice (factura) under Spanish law. A duplicate may be requested at the pharmacy counter within 30 days of the original issue date by presenting valid identification.</w:t>
      </w:r>
    </w:p>
    <w:bookmarkEnd w:id="22"/>
    <w:p>
      <w:pPr>
        <w:pStyle w:val="FirstParagraph"/>
      </w:pPr>
      <w:r>
        <w:rPr>
          <w:bCs/>
          <w:b/>
        </w:rPr>
        <w:t xml:space="preserve">Farmacia del Turia</w:t>
      </w:r>
      <w:r>
        <w:t xml:space="preserve"> </w:t>
      </w:r>
      <w:r>
        <w:t xml:space="preserve">— Chemist &amp; Pharmacy, Valencia, Spain</w:t>
      </w:r>
    </w:p>
    <w:p>
      <w:pPr>
        <w:pStyle w:val="BodyText"/>
      </w:pPr>
      <w:r>
        <w:t xml:space="preserve">Carrer de la Pau, 47, 46002 Valencia | NIF: B-460001234 | Col. Farm. Valencia: 46/12345</w:t>
      </w:r>
    </w:p>
    <w:p>
      <w:pPr>
        <w:pStyle w:val="BodyText"/>
      </w:pPr>
      <w:r>
        <w:t xml:space="preserve">Registered with the Il·lustre Col·legi Oficial de Farmacèutics de València (ICOFV)</w:t>
      </w:r>
    </w:p>
    <w:p>
      <w:pPr>
        <w:pStyle w:val="BodyText"/>
      </w:pPr>
      <w:r>
        <w:t xml:space="preserve">Bank: CaixaBank | IBAN: ES91 2100 0418 4502 0005 1332 | BIC: CAIXESBBXXX</w:t>
      </w:r>
    </w:p>
    <w:p>
      <w:pPr>
        <w:pStyle w:val="BodyText"/>
      </w:pPr>
      <w:r>
        <w:t xml:space="preserve">This invoice was generated electronically and is valid without a physical signature in accordance with Spanish electronic document regulations (Ley 6/2020). Document ID: INV-2025-04872 | Generated: 14/06/2025 11:42:07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Valencia, Spain</dc:title>
  <dc:creator/>
  <dc:language>en</dc:language>
  <cp:keywords/>
  <dcterms:created xsi:type="dcterms:W3CDTF">2026-10-10T01:14:57Z</dcterms:created>
  <dcterms:modified xsi:type="dcterms:W3CDTF">2026-10-10T01:14:57Z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