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Bangkok</w:t>
      </w:r>
      <w:r>
        <w:t xml:space="preserve"> </w:t>
      </w:r>
      <w:r>
        <w:t xml:space="preserve">Chemist</w:t>
      </w:r>
      <w:r>
        <w:t xml:space="preserve"> </w:t>
      </w:r>
      <w:r>
        <w:t xml:space="preserve">&amp;</w:t>
      </w:r>
      <w:r>
        <w:t xml:space="preserve"> </w:t>
      </w:r>
      <w:r>
        <w:t xml:space="preserve">Pharmaceutical</w:t>
      </w:r>
      <w:r>
        <w:t xml:space="preserve"> </w:t>
      </w:r>
      <w:r>
        <w:t xml:space="preserve">Services</w:t>
      </w:r>
    </w:p>
    <w:bookmarkStart w:id="20" w:name="invoice"/>
    <w:p>
      <w:pPr>
        <w:pStyle w:val="Heading1"/>
      </w:pPr>
      <w:r>
        <w:t xml:space="preserve">INVOICE</w:t>
      </w:r>
    </w:p>
    <w:p>
      <w:pPr>
        <w:pStyle w:val="FirstParagraph"/>
      </w:pPr>
      <w:r>
        <w:t xml:space="preserve">Pharmaceutical &amp; Chemist Services</w:t>
      </w:r>
    </w:p>
    <w:p>
      <w:pPr>
        <w:pStyle w:val="BodyText"/>
      </w:pPr>
      <w:r>
        <w:t xml:space="preserve">Serving Thailand Bangkok &amp; Surrounding Provinces</w:t>
      </w:r>
    </w:p>
    <w:bookmarkEnd w:id="20"/>
    <w:bookmarkStart w:id="21" w:name="invoice-number"/>
    <w:p>
      <w:pPr>
        <w:pStyle w:val="Heading3"/>
      </w:pPr>
      <w:r>
        <w:t xml:space="preserve">Invoice Number:</w:t>
      </w:r>
    </w:p>
    <w:p>
      <w:pPr>
        <w:pStyle w:val="FirstParagraph"/>
      </w:pPr>
      <w:r>
        <w:t xml:space="preserve">INV-BKK-2025-04872</w:t>
      </w:r>
    </w:p>
    <w:bookmarkEnd w:id="21"/>
    <w:bookmarkStart w:id="22" w:name="invoice-date"/>
    <w:p>
      <w:pPr>
        <w:pStyle w:val="Heading3"/>
      </w:pPr>
      <w:r>
        <w:t xml:space="preserve">Invoice Date:</w:t>
      </w:r>
    </w:p>
    <w:p>
      <w:pPr>
        <w:pStyle w:val="FirstParagraph"/>
      </w:pPr>
      <w:r>
        <w:t xml:space="preserve">15 June 2025</w:t>
      </w:r>
    </w:p>
    <w:bookmarkEnd w:id="22"/>
    <w:bookmarkStart w:id="23" w:name="due-date"/>
    <w:p>
      <w:pPr>
        <w:pStyle w:val="Heading3"/>
      </w:pPr>
      <w:r>
        <w:t xml:space="preserve">Due Date:</w:t>
      </w:r>
    </w:p>
    <w:p>
      <w:pPr>
        <w:pStyle w:val="FirstParagraph"/>
      </w:pPr>
      <w:r>
        <w:t xml:space="preserve">15 July 2025</w:t>
      </w:r>
    </w:p>
    <w:bookmarkEnd w:id="23"/>
    <w:bookmarkStart w:id="24" w:name="status"/>
    <w:p>
      <w:pPr>
        <w:pStyle w:val="Heading3"/>
      </w:pPr>
      <w:r>
        <w:t xml:space="preserve">Status:</w:t>
      </w:r>
    </w:p>
    <w:p>
      <w:pPr>
        <w:pStyle w:val="FirstParagraph"/>
      </w:pPr>
      <w:r>
        <w:t xml:space="preserve">PENDING</w:t>
      </w:r>
    </w:p>
    <w:bookmarkEnd w:id="24"/>
    <w:bookmarkStart w:id="25" w:name="chemist-supplier"/>
    <w:p>
      <w:pPr>
        <w:pStyle w:val="Heading4"/>
      </w:pPr>
      <w:r>
        <w:t xml:space="preserve">Chemist / Supplier</w:t>
      </w:r>
    </w:p>
    <w:p>
      <w:pPr>
        <w:pStyle w:val="FirstParagraph"/>
      </w:pPr>
      <w:r>
        <w:rPr>
          <w:bCs/>
          <w:b/>
        </w:rPr>
        <w:t xml:space="preserve">Bangkok Central Chemist &amp; Pharmacy Co., Ltd.</w:t>
      </w:r>
    </w:p>
    <w:p>
      <w:pPr>
        <w:pStyle w:val="BodyText"/>
      </w:pPr>
      <w:r>
        <w:t xml:space="preserve">88/12 Sukhumvit Road, Khlong Toei District</w:t>
      </w:r>
    </w:p>
    <w:p>
      <w:pPr>
        <w:pStyle w:val="BodyText"/>
      </w:pPr>
      <w:r>
        <w:t xml:space="preserve">Bangkok 10110, Thailand</w:t>
      </w:r>
    </w:p>
    <w:p>
      <w:pPr>
        <w:pStyle w:val="BodyText"/>
      </w:pPr>
      <w:r>
        <w:t xml:space="preserve">Tax ID (VAT): 0105556789012</w:t>
      </w:r>
    </w:p>
    <w:p>
      <w:pPr>
        <w:pStyle w:val="BodyText"/>
      </w:pPr>
      <w:r>
        <w:t xml:space="preserve">License No.: 10-2-00456-7890</w:t>
      </w:r>
    </w:p>
    <w:p>
      <w:pPr>
        <w:pStyle w:val="BodyText"/>
      </w:pPr>
      <w:r>
        <w:t xml:space="preserve">Tel: +66 2 255 4321</w:t>
      </w:r>
    </w:p>
    <w:p>
      <w:pPr>
        <w:pStyle w:val="BodyText"/>
      </w:pPr>
      <w:r>
        <w:t xml:space="preserve">Email: billing@bangkokchemist.co.th</w:t>
      </w:r>
    </w:p>
    <w:bookmarkEnd w:id="25"/>
    <w:bookmarkStart w:id="26" w:name="billed-to-customer"/>
    <w:p>
      <w:pPr>
        <w:pStyle w:val="Heading4"/>
      </w:pPr>
      <w:r>
        <w:t xml:space="preserve">Billed To / Customer</w:t>
      </w:r>
    </w:p>
    <w:p>
      <w:pPr>
        <w:pStyle w:val="FirstParagraph"/>
      </w:pPr>
      <w:r>
        <w:rPr>
          <w:bCs/>
          <w:b/>
        </w:rPr>
        <w:t xml:space="preserve">Siam Wellness Hospital Group</w:t>
      </w:r>
    </w:p>
    <w:p>
      <w:pPr>
        <w:pStyle w:val="BodyText"/>
      </w:pPr>
      <w:r>
        <w:t xml:space="preserve">288 Rama IV Road, Pathum Wan District</w:t>
      </w:r>
    </w:p>
    <w:p>
      <w:pPr>
        <w:pStyle w:val="BodyText"/>
      </w:pPr>
      <w:r>
        <w:t xml:space="preserve">Bangkok 10330, Thailand</w:t>
      </w:r>
    </w:p>
    <w:p>
      <w:pPr>
        <w:pStyle w:val="BodyText"/>
      </w:pPr>
      <w:r>
        <w:t xml:space="preserve">Tax ID: 0105559876543</w:t>
      </w:r>
    </w:p>
    <w:p>
      <w:pPr>
        <w:pStyle w:val="BodyText"/>
      </w:pPr>
      <w:r>
        <w:t xml:space="preserve">Attn: Dr. Ananya Chaiyaporn, Procurement Dept.</w:t>
      </w:r>
    </w:p>
    <w:p>
      <w:pPr>
        <w:pStyle w:val="BodyText"/>
      </w:pPr>
      <w:r>
        <w:t xml:space="preserve">Tel: +66 2 630 1122</w:t>
      </w:r>
    </w:p>
    <w:p>
      <w:pPr>
        <w:pStyle w:val="BodyText"/>
      </w:pPr>
      <w:r>
        <w:t xml:space="preserve">Email: procurement@siamwellness.co.th</w:t>
      </w:r>
    </w:p>
    <w:bookmarkEnd w:id="26"/>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Chemist Products &amp; Services</w:t>
            </w:r>
          </w:p>
        </w:tc>
        <w:tc>
          <w:tcPr/>
          <w:p>
            <w:pPr>
              <w:pStyle w:val="Compact"/>
              <w:jc w:val="left"/>
            </w:pPr>
            <w:r>
              <w:t xml:space="preserve">Product Code</w:t>
            </w:r>
          </w:p>
        </w:tc>
        <w:tc>
          <w:tcPr/>
          <w:p>
            <w:pPr>
              <w:pStyle w:val="Compact"/>
              <w:jc w:val="left"/>
            </w:pPr>
            <w:r>
              <w:t xml:space="preserve">Qty</w:t>
            </w:r>
          </w:p>
        </w:tc>
        <w:tc>
          <w:tcPr/>
          <w:p>
            <w:pPr>
              <w:pStyle w:val="Compact"/>
              <w:jc w:val="left"/>
            </w:pPr>
            <w:r>
              <w:t xml:space="preserve">Unit Price (THB)</w:t>
            </w:r>
          </w:p>
        </w:tc>
        <w:tc>
          <w:tcPr/>
          <w:p>
            <w:pPr>
              <w:pStyle w:val="Compact"/>
              <w:jc w:val="left"/>
            </w:pPr>
            <w:r>
              <w:t xml:space="preserve">Amount (THB)</w:t>
            </w:r>
          </w:p>
        </w:tc>
      </w:tr>
      <w:tr>
        <w:tc>
          <w:tcPr/>
          <w:p>
            <w:pPr>
              <w:pStyle w:val="Compact"/>
              <w:jc w:val="left"/>
            </w:pPr>
            <w:r>
              <w:t xml:space="preserve">01</w:t>
            </w:r>
          </w:p>
        </w:tc>
        <w:tc>
          <w:tcPr/>
          <w:p>
            <w:pPr>
              <w:pStyle w:val="Compact"/>
              <w:jc w:val="left"/>
            </w:pPr>
            <w:r>
              <w:t xml:space="preserve">Amoxicillin 500mg Capsules – 28-day supply (Registered Drug, Thai FDA Approved)</w:t>
            </w:r>
          </w:p>
        </w:tc>
        <w:tc>
          <w:tcPr/>
          <w:p>
            <w:pPr>
              <w:pStyle w:val="Compact"/>
              <w:jc w:val="left"/>
            </w:pPr>
            <w:r>
              <w:t xml:space="preserve">CHM-AMX-500</w:t>
            </w:r>
          </w:p>
        </w:tc>
        <w:tc>
          <w:tcPr/>
          <w:p>
            <w:pPr>
              <w:pStyle w:val="Compact"/>
              <w:jc w:val="left"/>
            </w:pPr>
            <w:r>
              <w:t xml:space="preserve">200 boxes</w:t>
            </w:r>
          </w:p>
        </w:tc>
        <w:tc>
          <w:tcPr/>
          <w:p>
            <w:pPr>
              <w:pStyle w:val="Compact"/>
              <w:jc w:val="left"/>
            </w:pPr>
            <w:r>
              <w:t xml:space="preserve">385.00</w:t>
            </w:r>
          </w:p>
        </w:tc>
        <w:tc>
          <w:tcPr/>
          <w:p>
            <w:pPr>
              <w:pStyle w:val="Compact"/>
              <w:jc w:val="left"/>
            </w:pPr>
            <w:r>
              <w:t xml:space="preserve">77,000.00</w:t>
            </w:r>
          </w:p>
        </w:tc>
      </w:tr>
      <w:tr>
        <w:tc>
          <w:tcPr/>
          <w:p>
            <w:pPr>
              <w:pStyle w:val="Compact"/>
              <w:jc w:val="left"/>
            </w:pPr>
            <w:r>
              <w:t xml:space="preserve">02</w:t>
            </w:r>
          </w:p>
        </w:tc>
        <w:tc>
          <w:tcPr/>
          <w:p>
            <w:pPr>
              <w:pStyle w:val="Compact"/>
              <w:jc w:val="left"/>
            </w:pPr>
            <w:r>
              <w:t xml:space="preserve">Ibuprofen 400mg Tablets – Analgesic &amp; Anti-inflammatory (Bulk Chemist Order)</w:t>
            </w:r>
          </w:p>
        </w:tc>
        <w:tc>
          <w:tcPr/>
          <w:p>
            <w:pPr>
              <w:pStyle w:val="Compact"/>
              <w:jc w:val="left"/>
            </w:pPr>
            <w:r>
              <w:t xml:space="preserve">CHM-IBU-400</w:t>
            </w:r>
          </w:p>
        </w:tc>
        <w:tc>
          <w:tcPr/>
          <w:p>
            <w:pPr>
              <w:pStyle w:val="Compact"/>
              <w:jc w:val="left"/>
            </w:pPr>
            <w:r>
              <w:t xml:space="preserve">500 boxes</w:t>
            </w:r>
          </w:p>
        </w:tc>
        <w:tc>
          <w:tcPr/>
          <w:p>
            <w:pPr>
              <w:pStyle w:val="Compact"/>
              <w:jc w:val="left"/>
            </w:pPr>
            <w:r>
              <w:t xml:space="preserve">195.00</w:t>
            </w:r>
          </w:p>
        </w:tc>
        <w:tc>
          <w:tcPr/>
          <w:p>
            <w:pPr>
              <w:pStyle w:val="Compact"/>
              <w:jc w:val="left"/>
            </w:pPr>
            <w:r>
              <w:t xml:space="preserve">97,500.00</w:t>
            </w:r>
          </w:p>
        </w:tc>
      </w:tr>
      <w:tr>
        <w:tc>
          <w:tcPr/>
          <w:p>
            <w:pPr>
              <w:pStyle w:val="Compact"/>
              <w:jc w:val="left"/>
            </w:pPr>
            <w:r>
              <w:t xml:space="preserve">03</w:t>
            </w:r>
          </w:p>
        </w:tc>
        <w:tc>
          <w:tcPr/>
          <w:p>
            <w:pPr>
              <w:pStyle w:val="Compact"/>
              <w:jc w:val="left"/>
            </w:pPr>
            <w:r>
              <w:t xml:space="preserve">Metformin HCl 850mg Tablets – Type 2 Diabetes Management</w:t>
            </w:r>
          </w:p>
        </w:tc>
        <w:tc>
          <w:tcPr/>
          <w:p>
            <w:pPr>
              <w:pStyle w:val="Compact"/>
              <w:jc w:val="left"/>
            </w:pPr>
            <w:r>
              <w:t xml:space="preserve">CHM-MET-850</w:t>
            </w:r>
          </w:p>
        </w:tc>
        <w:tc>
          <w:tcPr/>
          <w:p>
            <w:pPr>
              <w:pStyle w:val="Compact"/>
              <w:jc w:val="left"/>
            </w:pPr>
            <w:r>
              <w:t xml:space="preserve">150 boxes</w:t>
            </w:r>
          </w:p>
        </w:tc>
        <w:tc>
          <w:tcPr/>
          <w:p>
            <w:pPr>
              <w:pStyle w:val="Compact"/>
              <w:jc w:val="left"/>
            </w:pPr>
            <w:r>
              <w:t xml:space="preserve">420.00</w:t>
            </w:r>
          </w:p>
        </w:tc>
        <w:tc>
          <w:tcPr/>
          <w:p>
            <w:pPr>
              <w:pStyle w:val="Compact"/>
              <w:jc w:val="left"/>
            </w:pPr>
            <w:r>
              <w:t xml:space="preserve">63,000.00</w:t>
            </w:r>
          </w:p>
        </w:tc>
      </w:tr>
      <w:tr>
        <w:tc>
          <w:tcPr/>
          <w:p>
            <w:pPr>
              <w:pStyle w:val="Compact"/>
              <w:jc w:val="left"/>
            </w:pPr>
            <w:r>
              <w:t xml:space="preserve">04</w:t>
            </w:r>
          </w:p>
        </w:tc>
        <w:tc>
          <w:tcPr/>
          <w:p>
            <w:pPr>
              <w:pStyle w:val="Compact"/>
              <w:jc w:val="left"/>
            </w:pPr>
            <w:r>
              <w:t xml:space="preserve">Oral Rehydration Salts (ORS) – WHO Formulation, 20 sachets per pack</w:t>
            </w:r>
          </w:p>
        </w:tc>
        <w:tc>
          <w:tcPr/>
          <w:p>
            <w:pPr>
              <w:pStyle w:val="Compact"/>
              <w:jc w:val="left"/>
            </w:pPr>
            <w:r>
              <w:t xml:space="preserve">CHM-ORS-20</w:t>
            </w:r>
          </w:p>
        </w:tc>
        <w:tc>
          <w:tcPr/>
          <w:p>
            <w:pPr>
              <w:pStyle w:val="Compact"/>
              <w:jc w:val="left"/>
            </w:pPr>
            <w:r>
              <w:t xml:space="preserve">300 packs</w:t>
            </w:r>
          </w:p>
        </w:tc>
        <w:tc>
          <w:tcPr/>
          <w:p>
            <w:pPr>
              <w:pStyle w:val="Compact"/>
              <w:jc w:val="left"/>
            </w:pPr>
            <w:r>
              <w:t xml:space="preserve">145.00</w:t>
            </w:r>
          </w:p>
        </w:tc>
        <w:tc>
          <w:tcPr/>
          <w:p>
            <w:pPr>
              <w:pStyle w:val="Compact"/>
              <w:jc w:val="left"/>
            </w:pPr>
            <w:r>
              <w:t xml:space="preserve">43,500.00</w:t>
            </w:r>
          </w:p>
        </w:tc>
      </w:tr>
      <w:tr>
        <w:tc>
          <w:tcPr/>
          <w:p>
            <w:pPr>
              <w:pStyle w:val="Compact"/>
              <w:jc w:val="left"/>
            </w:pPr>
            <w:r>
              <w:t xml:space="preserve">05</w:t>
            </w:r>
          </w:p>
        </w:tc>
        <w:tc>
          <w:tcPr/>
          <w:p>
            <w:pPr>
              <w:pStyle w:val="Compact"/>
              <w:jc w:val="left"/>
            </w:pPr>
            <w:r>
              <w:t xml:space="preserve">Topical Antiseptic Cream 30g – Chemist-Grade Wound Care (Chlorhexidine 2%)</w:t>
            </w:r>
          </w:p>
        </w:tc>
        <w:tc>
          <w:tcPr/>
          <w:p>
            <w:pPr>
              <w:pStyle w:val="Compact"/>
              <w:jc w:val="left"/>
            </w:pPr>
            <w:r>
              <w:t xml:space="preserve">CHM-ANT-30G</w:t>
            </w:r>
          </w:p>
        </w:tc>
        <w:tc>
          <w:tcPr/>
          <w:p>
            <w:pPr>
              <w:pStyle w:val="Compact"/>
              <w:jc w:val="left"/>
            </w:pPr>
            <w:r>
              <w:t xml:space="preserve">100 tubes</w:t>
            </w:r>
          </w:p>
        </w:tc>
        <w:tc>
          <w:tcPr/>
          <w:p>
            <w:pPr>
              <w:pStyle w:val="Compact"/>
              <w:jc w:val="left"/>
            </w:pPr>
            <w:r>
              <w:t xml:space="preserve">285.00</w:t>
            </w:r>
          </w:p>
        </w:tc>
        <w:tc>
          <w:tcPr/>
          <w:p>
            <w:pPr>
              <w:pStyle w:val="Compact"/>
              <w:jc w:val="left"/>
            </w:pPr>
            <w:r>
              <w:t xml:space="preserve">28,500.00</w:t>
            </w:r>
          </w:p>
        </w:tc>
      </w:tr>
      <w:tr>
        <w:tc>
          <w:tcPr/>
          <w:p>
            <w:pPr>
              <w:pStyle w:val="Compact"/>
              <w:jc w:val="left"/>
            </w:pPr>
            <w:r>
              <w:t xml:space="preserve">06</w:t>
            </w:r>
          </w:p>
        </w:tc>
        <w:tc>
          <w:tcPr/>
          <w:p>
            <w:pPr>
              <w:pStyle w:val="Compact"/>
              <w:jc w:val="left"/>
            </w:pPr>
            <w:r>
              <w:t xml:space="preserve">Professional Chemist Consultation &amp; Drug Interaction Review Service (Monthly Retainer)</w:t>
            </w:r>
          </w:p>
        </w:tc>
        <w:tc>
          <w:tcPr/>
          <w:p>
            <w:pPr>
              <w:pStyle w:val="Compact"/>
              <w:jc w:val="left"/>
            </w:pPr>
            <w:r>
              <w:t xml:space="preserve">SVC-CHM-CONS</w:t>
            </w:r>
          </w:p>
        </w:tc>
        <w:tc>
          <w:tcPr/>
          <w:p>
            <w:pPr>
              <w:pStyle w:val="Compact"/>
              <w:jc w:val="left"/>
            </w:pPr>
            <w:r>
              <w:t xml:space="preserve">1 month</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07</w:t>
            </w:r>
          </w:p>
        </w:tc>
        <w:tc>
          <w:tcPr/>
          <w:p>
            <w:pPr>
              <w:pStyle w:val="Compact"/>
              <w:jc w:val="left"/>
            </w:pPr>
            <w:r>
              <w:t xml:space="preserve">Temperature-Controlled Cold Chain Delivery within Bangkok Metro Area</w:t>
            </w:r>
          </w:p>
        </w:tc>
        <w:tc>
          <w:tcPr/>
          <w:p>
            <w:pPr>
              <w:pStyle w:val="Compact"/>
              <w:jc w:val="left"/>
            </w:pPr>
            <w:r>
              <w:t xml:space="preserve">SVC-DEL-BKK</w:t>
            </w:r>
          </w:p>
        </w:tc>
        <w:tc>
          <w:tcPr/>
          <w:p>
            <w:pPr>
              <w:pStyle w:val="Compact"/>
              <w:jc w:val="left"/>
            </w:pPr>
            <w:r>
              <w:t xml:space="preserve">1 delivery</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08</w:t>
            </w:r>
          </w:p>
        </w:tc>
        <w:tc>
          <w:tcPr/>
          <w:p>
            <w:pPr>
              <w:pStyle w:val="Compact"/>
              <w:jc w:val="left"/>
            </w:pPr>
            <w:r>
              <w:t xml:space="preserve">Pharmaceutical Waste Disposal &amp; Regulatory Compliance Filing (Thai FDA)</w:t>
            </w:r>
          </w:p>
        </w:tc>
        <w:tc>
          <w:tcPr/>
          <w:p>
            <w:pPr>
              <w:pStyle w:val="Compact"/>
              <w:jc w:val="left"/>
            </w:pPr>
            <w:r>
              <w:t xml:space="preserve">SVC-REG-WST</w:t>
            </w:r>
          </w:p>
        </w:tc>
        <w:tc>
          <w:tcPr/>
          <w:p>
            <w:pPr>
              <w:pStyle w:val="Compact"/>
              <w:jc w:val="left"/>
            </w:pPr>
            <w:r>
              <w:t xml:space="preserve">1 service</w:t>
            </w:r>
          </w:p>
        </w:tc>
        <w:tc>
          <w:tcPr/>
          <w:p>
            <w:pPr>
              <w:pStyle w:val="Compact"/>
              <w:jc w:val="left"/>
            </w:pPr>
            <w:r>
              <w:t xml:space="preserve">8,000.00</w:t>
            </w:r>
          </w:p>
        </w:tc>
        <w:tc>
          <w:tcPr/>
          <w:p>
            <w:pPr>
              <w:pStyle w:val="Compact"/>
              <w:jc w:val="left"/>
            </w:pPr>
            <w:r>
              <w:t xml:space="preserve">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(THB)</w:t>
            </w:r>
          </w:p>
        </w:tc>
        <w:tc>
          <w:tcPr/>
          <w:p>
            <w:pPr>
              <w:pStyle w:val="Compact"/>
              <w:jc w:val="right"/>
            </w:pPr>
            <w:r>
              <w:t xml:space="preserve">335,000.00</w:t>
            </w:r>
          </w:p>
        </w:tc>
      </w:tr>
      <w:tr>
        <w:tc>
          <w:tcPr/>
          <w:p>
            <w:pPr>
              <w:pStyle w:val="Compact"/>
              <w:jc w:val="left"/>
            </w:pPr>
            <w:r>
              <w:t xml:space="preserve">VAT @ 7% (Thailand Standard Rate)</w:t>
            </w:r>
          </w:p>
        </w:tc>
        <w:tc>
          <w:tcPr/>
          <w:p>
            <w:pPr>
              <w:pStyle w:val="Compact"/>
              <w:jc w:val="right"/>
            </w:pPr>
            <w:r>
              <w:t xml:space="preserve">23,450.00</w:t>
            </w:r>
          </w:p>
        </w:tc>
      </w:tr>
      <w:tr>
        <w:tc>
          <w:tcPr/>
          <w:p>
            <w:pPr>
              <w:pStyle w:val="Compact"/>
              <w:jc w:val="left"/>
            </w:pPr>
            <w:r>
              <w:t xml:space="preserve">Discount – Corporate Chemist Account (5%)</w:t>
            </w:r>
          </w:p>
        </w:tc>
        <w:tc>
          <w:tcPr/>
          <w:p>
            <w:pPr>
              <w:pStyle w:val="Compact"/>
              <w:jc w:val="right"/>
            </w:pPr>
            <w:r>
              <w:t xml:space="preserve">-16,750.00</w:t>
            </w:r>
          </w:p>
        </w:tc>
      </w:tr>
      <w:tr>
        <w:tc>
          <w:tcPr/>
          <w:p>
            <w:pPr>
              <w:pStyle w:val="Compact"/>
              <w:jc w:val="left"/>
            </w:pPr>
            <w:r>
              <w:t xml:space="preserve">GRAND TOTAL DUE (THB)</w:t>
            </w:r>
          </w:p>
        </w:tc>
        <w:tc>
          <w:tcPr/>
          <w:p>
            <w:pPr>
              <w:pStyle w:val="Compact"/>
              <w:jc w:val="right"/>
            </w:pPr>
            <w:r>
              <w:t xml:space="preserve">341,700.00</w:t>
            </w:r>
          </w:p>
        </w:tc>
      </w:tr>
    </w:tbl>
    <w:bookmarkStart w:id="27" w:name="invoice-notes-terms-of-service"/>
    <w:p>
      <w:pPr>
        <w:pStyle w:val="Heading4"/>
      </w:pPr>
      <w:r>
        <w:t xml:space="preserve">Invoice Notes &amp; Terms of Service</w:t>
      </w:r>
    </w:p>
    <w:p>
      <w:pPr>
        <w:pStyle w:val="FirstParagraph"/>
      </w:pPr>
      <w:r>
        <w:t xml:space="preserve">This Invoice is issued by Bangkok Central Chemist &amp; Pharmacy Co., Ltd., a licensed chemist and pharmaceutical distributor operating under the regulations of the Thai Food and Drug Administration (Thai FDA) and the Ministry of Public Health, Thailand. All pharmaceutical products listed on this Invoice have been sourced from verified manufacturers and comply with the Drug Act B.E. 2510 (1967) and subsequent amendments applicable in Thailand Bangkok and all provinces.</w:t>
      </w:r>
    </w:p>
    <w:p>
      <w:pPr>
        <w:numPr>
          <w:ilvl w:val="0"/>
          <w:numId w:val="1001"/>
        </w:numPr>
        <w:pStyle w:val="Compact"/>
      </w:pPr>
      <w:r>
        <w:t xml:space="preserve">Payment is due within thirty (30) calendar days from the Invoice date via bank transfer to the account specified below. Late payments shall incur a penalty of 1.5% per month as per Thai commercial law.</w:t>
      </w:r>
    </w:p>
    <w:p>
      <w:pPr>
        <w:numPr>
          <w:ilvl w:val="0"/>
          <w:numId w:val="1001"/>
        </w:numPr>
        <w:pStyle w:val="Compact"/>
      </w:pPr>
      <w:r>
        <w:t xml:space="preserve">All chemist-supplied medications are subject to a 90-day return policy provided the products remain unopened, within their expiry date, and in original packaging. Returns must be authorized in writing by the Bangkok Central Chemist quality assurance team.</w:t>
      </w:r>
    </w:p>
    <w:p>
      <w:pPr>
        <w:numPr>
          <w:ilvl w:val="0"/>
          <w:numId w:val="1001"/>
        </w:numPr>
        <w:pStyle w:val="Compact"/>
      </w:pPr>
      <w:r>
        <w:t xml:space="preserve">Cold chain products (Ref 04) must be stored between 2°C and 8°C. The chemist assumes no liability for product degradation resulting from improper storage by the recipient after delivery in Thailand Bangkok.</w:t>
      </w:r>
    </w:p>
    <w:p>
      <w:pPr>
        <w:numPr>
          <w:ilvl w:val="0"/>
          <w:numId w:val="1001"/>
        </w:numPr>
        <w:pStyle w:val="Compact"/>
      </w:pPr>
      <w:r>
        <w:t xml:space="preserve">This Invoice does not constitute a prescription. All prescription medications (Ref 01, 02, 03) were dispensed in accordance with a valid prescription issued by a licensed physician registered with the Thai Medical Council.</w:t>
      </w:r>
    </w:p>
    <w:p>
      <w:pPr>
        <w:numPr>
          <w:ilvl w:val="0"/>
          <w:numId w:val="1001"/>
        </w:numPr>
        <w:pStyle w:val="Compact"/>
      </w:pPr>
      <w:r>
        <w:t xml:space="preserve">For regulatory inquiries, please contact the chemist's compliance officer at compliance@bangkokchemist.co.th or visit our registered office at 88/12 Sukhumvit Road, Bangkok 10110, Thailand.</w:t>
      </w:r>
    </w:p>
    <w:p>
      <w:pPr>
        <w:pStyle w:val="FirstParagraph"/>
      </w:pPr>
      <w:r>
        <w:rPr>
          <w:bCs/>
          <w:b/>
        </w:rPr>
        <w:t xml:space="preserve">Bank Details for Payment:</w:t>
      </w:r>
      <w:r>
        <w:t xml:space="preserve"> </w:t>
      </w:r>
      <w:r>
        <w:t xml:space="preserve">Bank of Ayudhya (Krungsri), Account Name: Bangkok Central Chemist &amp; Pharmacy Co., Ltd., Account No.: 048-2-56789-1, SWIFT: AYUDTHBK.</w:t>
      </w:r>
    </w:p>
    <w:bookmarkEnd w:id="27"/>
    <w:p>
      <w:pPr>
        <w:pStyle w:val="BodyText"/>
      </w:pPr>
      <w:r>
        <w:rPr>
          <w:bCs/>
          <w:b/>
        </w:rPr>
        <w:t xml:space="preserve">Bangkok Central Chemist &amp; Pharmacy Co., Ltd.</w:t>
      </w:r>
      <w:r>
        <w:t xml:space="preserve"> </w:t>
      </w:r>
      <w:r>
        <w:t xml:space="preserve">| 88/12 Sukhumvit Road, Khlong Toei, Bangkok 10110, Thailand</w:t>
      </w:r>
    </w:p>
    <w:p>
      <w:pPr>
        <w:pStyle w:val="BodyText"/>
      </w:pPr>
      <w:r>
        <w:t xml:space="preserve">License No. 10-2-00456-7890 | VAT Reg. 0105556789012 | Thai FDA Registered Distributor</w:t>
      </w:r>
    </w:p>
    <w:p>
      <w:pPr>
        <w:pStyle w:val="BodyText"/>
      </w:pPr>
      <w:r>
        <w:t xml:space="preserve">This Invoice was generated electronically and is valid without a physical signature in accordance with the Electronic Transactions Act B.E. 2544 (2001) of Thailand. For any disputes regarding this Invoice, please contact the Bangkok Central Chemist billing department within fourteen (14) days of the due date.</w:t>
      </w:r>
    </w:p>
    <w:p>
      <w:pPr>
        <w:pStyle w:val="BodyText"/>
      </w:pPr>
      <w:r>
        <w:t xml:space="preserve">© 2025 Bangkok Central Chemist &amp; Pharmacy Co., Ltd. All rights reserved. Invoice INV-BKK-2025-04872.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Bangkok Chemist &amp; Pharmaceutical Services</dc:title>
  <dc:creator/>
  <dc:language>en</dc:language>
  <cp:keywords/>
  <dcterms:created xsi:type="dcterms:W3CDTF">2026-10-10T03:11:26Z</dcterms:created>
  <dcterms:modified xsi:type="dcterms:W3CDTF">2026-10-10T03:11:26Z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