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istanbul-eczanesi-chemist-services"/>
    <w:p>
      <w:pPr>
        <w:pStyle w:val="Heading1"/>
      </w:pPr>
      <w:r>
        <w:t xml:space="preserve">İstanbul Eczanesi &amp; Chemist Services</w:t>
      </w:r>
    </w:p>
    <w:p>
      <w:pPr>
        <w:pStyle w:val="FirstParagraph"/>
      </w:pPr>
      <w:r>
        <w:rPr>
          <w:bCs/>
          <w:b/>
        </w:rPr>
        <w:t xml:space="preserve">Chemist License No:</w:t>
      </w:r>
      <w:r>
        <w:t xml:space="preserve"> </w:t>
      </w:r>
      <w:r>
        <w:t xml:space="preserve">TR-IST-2024-00847</w:t>
      </w:r>
    </w:p>
    <w:p>
      <w:pPr>
        <w:pStyle w:val="BodyText"/>
      </w:pPr>
      <w:r>
        <w:rPr>
          <w:bCs/>
          <w:b/>
        </w:rPr>
        <w:t xml:space="preserve">Address:</w:t>
      </w:r>
      <w:r>
        <w:t xml:space="preserve"> </w:t>
      </w:r>
      <w:r>
        <w:t xml:space="preserve">İstiklal Caddesi No: 142, Beyoğlu, 34430 Istanbul, Turkey</w:t>
      </w:r>
    </w:p>
    <w:p>
      <w:pPr>
        <w:pStyle w:val="BodyText"/>
      </w:pPr>
      <w:r>
        <w:rPr>
          <w:bCs/>
          <w:b/>
        </w:rPr>
        <w:t xml:space="preserve">Phone:</w:t>
      </w:r>
      <w:r>
        <w:t xml:space="preserve"> </w:t>
      </w:r>
      <w:r>
        <w:t xml:space="preserve">+90 212 555 0142</w:t>
      </w:r>
    </w:p>
    <w:p>
      <w:pPr>
        <w:pStyle w:val="BodyText"/>
      </w:pPr>
      <w:r>
        <w:rPr>
          <w:bCs/>
          <w:b/>
        </w:rPr>
        <w:t xml:space="preserve">Email:</w:t>
      </w:r>
      <w:r>
        <w:t xml:space="preserve"> </w:t>
      </w:r>
      <w:r>
        <w:t xml:space="preserve">billing@istanbulchemist.com.tr</w:t>
      </w:r>
    </w:p>
    <w:p>
      <w:pPr>
        <w:pStyle w:val="BodyText"/>
      </w:pPr>
      <w:r>
        <w:rPr>
          <w:bCs/>
          <w:b/>
        </w:rPr>
        <w:t xml:space="preserve">Tax ID (VKN):</w:t>
      </w:r>
      <w:r>
        <w:t xml:space="preserve"> </w:t>
      </w:r>
      <w:r>
        <w:t xml:space="preserve">1234567890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INV-2024-IST-03847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Country:</w:t>
      </w:r>
      <w:r>
        <w:t xml:space="preserve"> </w:t>
      </w:r>
      <w:r>
        <w:t xml:space="preserve">Turkey Istanbul</w:t>
      </w:r>
    </w:p>
    <w:bookmarkEnd w:id="21"/>
    <w:bookmarkStart w:id="22" w:name="billed-to-client"/>
    <w:p>
      <w:pPr>
        <w:pStyle w:val="Heading3"/>
      </w:pPr>
      <w:r>
        <w:t xml:space="preserve">Billed To (Client)</w:t>
      </w:r>
    </w:p>
    <w:p>
      <w:pPr>
        <w:pStyle w:val="FirstParagraph"/>
      </w:pPr>
      <w:r>
        <w:rPr>
          <w:bCs/>
          <w:b/>
        </w:rPr>
        <w:t xml:space="preserve">Company:</w:t>
      </w:r>
      <w:r>
        <w:t xml:space="preserve"> </w:t>
      </w:r>
      <w:r>
        <w:t xml:space="preserve">Anadolu Health Group A.Ş.</w:t>
      </w:r>
    </w:p>
    <w:p>
      <w:pPr>
        <w:pStyle w:val="BodyText"/>
      </w:pPr>
      <w:r>
        <w:rPr>
          <w:bCs/>
          <w:b/>
        </w:rPr>
        <w:t xml:space="preserve">Attn:</w:t>
      </w:r>
      <w:r>
        <w:t xml:space="preserve"> </w:t>
      </w:r>
      <w:r>
        <w:t xml:space="preserve">Dr. Mehmet Yılmaz, Procurement Manager</w:t>
      </w:r>
    </w:p>
    <w:p>
      <w:pPr>
        <w:pStyle w:val="BodyText"/>
      </w:pPr>
      <w:r>
        <w:rPr>
          <w:bCs/>
          <w:b/>
        </w:rPr>
        <w:t xml:space="preserve">Address:</w:t>
      </w:r>
      <w:r>
        <w:t xml:space="preserve"> </w:t>
      </w:r>
      <w:r>
        <w:t xml:space="preserve">Maslak Business District, Büyükdere Caddesi No: 256, Sarıyer, 34450 Istanbul, Turkey</w:t>
      </w:r>
    </w:p>
    <w:p>
      <w:pPr>
        <w:pStyle w:val="BodyText"/>
      </w:pPr>
      <w:r>
        <w:rPr>
          <w:bCs/>
          <w:b/>
        </w:rPr>
        <w:t xml:space="preserve">Tax ID (VKN):</w:t>
      </w:r>
      <w:r>
        <w:t xml:space="preserve"> </w:t>
      </w:r>
      <w:r>
        <w:t xml:space="preserve">9876543210</w:t>
      </w:r>
    </w:p>
    <w:p>
      <w:pPr>
        <w:pStyle w:val="BodyText"/>
      </w:pPr>
      <w:r>
        <w:rPr>
          <w:bCs/>
          <w:b/>
        </w:rPr>
        <w:t xml:space="preserve">Phone:</w:t>
      </w:r>
      <w:r>
        <w:t xml:space="preserve"> </w:t>
      </w:r>
      <w:r>
        <w:t xml:space="preserve">+90 212 444 7890</w:t>
      </w:r>
    </w:p>
    <w:bookmarkEnd w:id="22"/>
    <w:bookmarkStart w:id="23" w:name="chemist-service-provider"/>
    <w:p>
      <w:pPr>
        <w:pStyle w:val="Heading3"/>
      </w:pPr>
      <w:r>
        <w:t xml:space="preserve">Chemist / Service Provider</w:t>
      </w:r>
    </w:p>
    <w:p>
      <w:pPr>
        <w:pStyle w:val="FirstParagraph"/>
      </w:pPr>
      <w:r>
        <w:rPr>
          <w:bCs/>
          <w:b/>
        </w:rPr>
        <w:t xml:space="preserve">Pharmacist in Charge:</w:t>
      </w:r>
      <w:r>
        <w:t xml:space="preserve"> </w:t>
      </w:r>
      <w:r>
        <w:t xml:space="preserve">Ecz. Ayşe Kaya, M.Pharm.</w:t>
      </w:r>
    </w:p>
    <w:p>
      <w:pPr>
        <w:pStyle w:val="BodyText"/>
      </w:pPr>
      <w:r>
        <w:rPr>
          <w:bCs/>
          <w:b/>
        </w:rPr>
        <w:t xml:space="preserve">Chemist Registration:</w:t>
      </w:r>
      <w:r>
        <w:t xml:space="preserve"> </w:t>
      </w:r>
      <w:r>
        <w:t xml:space="preserve">Istanbul Pharmacy Chamber No. 4521</w:t>
      </w:r>
    </w:p>
    <w:p>
      <w:pPr>
        <w:pStyle w:val="BodyText"/>
      </w:pPr>
      <w:r>
        <w:rPr>
          <w:bCs/>
          <w:b/>
        </w:rPr>
        <w:t xml:space="preserve">Address:</w:t>
      </w:r>
      <w:r>
        <w:t xml:space="preserve"> </w:t>
      </w:r>
      <w:r>
        <w:t xml:space="preserve">İstiklal Caddesi No: 142, Beyoğlu, 34430 Istanbul, Turkey</w:t>
      </w:r>
    </w:p>
    <w:p>
      <w:pPr>
        <w:pStyle w:val="BodyText"/>
      </w:pPr>
      <w:r>
        <w:rPr>
          <w:bCs/>
          <w:b/>
        </w:rPr>
        <w:t xml:space="preserve">Phone:</w:t>
      </w:r>
      <w:r>
        <w:t xml:space="preserve"> </w:t>
      </w:r>
      <w:r>
        <w:t xml:space="preserve">+90 212 555 0142</w:t>
      </w:r>
    </w:p>
    <w:p>
      <w:pPr>
        <w:pStyle w:val="BodyText"/>
      </w:pPr>
      <w:r>
        <w:rPr>
          <w:bCs/>
          <w:b/>
        </w:rPr>
        <w:t xml:space="preserve">License Valid Until:</w:t>
      </w:r>
      <w:r>
        <w:t xml:space="preserve"> </w:t>
      </w:r>
      <w:r>
        <w:t xml:space="preserve">31 December 2026</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Goods / Services</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(TRY)</w:t>
            </w:r>
          </w:p>
        </w:tc>
        <w:tc>
          <w:tcPr/>
          <w:p>
            <w:pPr>
              <w:pStyle w:val="Compact"/>
              <w:jc w:val="left"/>
            </w:pPr>
            <w:r>
              <w:t xml:space="preserve">Amount (TRY)</w:t>
            </w:r>
          </w:p>
        </w:tc>
      </w:tr>
      <w:tr>
        <w:tc>
          <w:tcPr/>
          <w:p>
            <w:pPr>
              <w:pStyle w:val="Compact"/>
              <w:jc w:val="left"/>
            </w:pPr>
            <w:r>
              <w:t xml:space="preserve">1</w:t>
            </w:r>
          </w:p>
        </w:tc>
        <w:tc>
          <w:tcPr/>
          <w:p>
            <w:pPr>
              <w:pStyle w:val="Compact"/>
              <w:jc w:val="left"/>
            </w:pPr>
            <w:r>
              <w:t xml:space="preserve">Amoxicillin 500mg Capsules (28 tablets) – Prescription Dispensing Service by Licensed Chemist</w:t>
            </w:r>
          </w:p>
        </w:tc>
        <w:tc>
          <w:tcPr/>
          <w:p>
            <w:pPr>
              <w:pStyle w:val="Compact"/>
              <w:jc w:val="left"/>
            </w:pPr>
            <w:r>
              <w:t xml:space="preserve">Pharmaceutical</w:t>
            </w:r>
          </w:p>
        </w:tc>
        <w:tc>
          <w:tcPr/>
          <w:p>
            <w:pPr>
              <w:pStyle w:val="Compact"/>
              <w:jc w:val="left"/>
            </w:pPr>
            <w:r>
              <w:t xml:space="preserve">50</w:t>
            </w:r>
          </w:p>
        </w:tc>
        <w:tc>
          <w:tcPr/>
          <w:p>
            <w:pPr>
              <w:pStyle w:val="Compact"/>
              <w:jc w:val="left"/>
            </w:pPr>
            <w:r>
              <w:t xml:space="preserve">185.00</w:t>
            </w:r>
          </w:p>
        </w:tc>
        <w:tc>
          <w:tcPr/>
          <w:p>
            <w:pPr>
              <w:pStyle w:val="Compact"/>
              <w:jc w:val="left"/>
            </w:pPr>
            <w:r>
              <w:t xml:space="preserve">9,250.00</w:t>
            </w:r>
          </w:p>
        </w:tc>
      </w:tr>
      <w:tr>
        <w:tc>
          <w:tcPr/>
          <w:p>
            <w:pPr>
              <w:pStyle w:val="Compact"/>
              <w:jc w:val="left"/>
            </w:pPr>
            <w:r>
              <w:t xml:space="preserve">2</w:t>
            </w:r>
          </w:p>
        </w:tc>
        <w:tc>
          <w:tcPr/>
          <w:p>
            <w:pPr>
              <w:pStyle w:val="Compact"/>
              <w:jc w:val="left"/>
            </w:pPr>
            <w:r>
              <w:t xml:space="preserve">Metformin HCl 850mg Tablets (60 tablets) – Chemist-Verified Stock Supply</w:t>
            </w:r>
          </w:p>
        </w:tc>
        <w:tc>
          <w:tcPr/>
          <w:p>
            <w:pPr>
              <w:pStyle w:val="Compact"/>
              <w:jc w:val="left"/>
            </w:pPr>
            <w:r>
              <w:t xml:space="preserve">Pharmaceutical</w:t>
            </w:r>
          </w:p>
        </w:tc>
        <w:tc>
          <w:tcPr/>
          <w:p>
            <w:pPr>
              <w:pStyle w:val="Compact"/>
              <w:jc w:val="left"/>
            </w:pPr>
            <w:r>
              <w:t xml:space="preserve">40</w:t>
            </w:r>
          </w:p>
        </w:tc>
        <w:tc>
          <w:tcPr/>
          <w:p>
            <w:pPr>
              <w:pStyle w:val="Compact"/>
              <w:jc w:val="left"/>
            </w:pPr>
            <w:r>
              <w:t xml:space="preserve">142.50</w:t>
            </w:r>
          </w:p>
        </w:tc>
        <w:tc>
          <w:tcPr/>
          <w:p>
            <w:pPr>
              <w:pStyle w:val="Compact"/>
              <w:jc w:val="left"/>
            </w:pPr>
            <w:r>
              <w:t xml:space="preserve">5,700.00</w:t>
            </w:r>
          </w:p>
        </w:tc>
      </w:tr>
      <w:tr>
        <w:tc>
          <w:tcPr/>
          <w:p>
            <w:pPr>
              <w:pStyle w:val="Compact"/>
              <w:jc w:val="left"/>
            </w:pPr>
            <w:r>
              <w:t xml:space="preserve">3</w:t>
            </w:r>
          </w:p>
        </w:tc>
        <w:tc>
          <w:tcPr/>
          <w:p>
            <w:pPr>
              <w:pStyle w:val="Compact"/>
              <w:jc w:val="left"/>
            </w:pPr>
            <w:r>
              <w:t xml:space="preserve">Atorvastatin 20mg Tablets (30 tablets) – Turkey Istanbul Approved Formulation</w:t>
            </w:r>
          </w:p>
        </w:tc>
        <w:tc>
          <w:tcPr/>
          <w:p>
            <w:pPr>
              <w:pStyle w:val="Compact"/>
              <w:jc w:val="left"/>
            </w:pPr>
            <w:r>
              <w:t xml:space="preserve">Pharmaceutical</w:t>
            </w:r>
          </w:p>
        </w:tc>
        <w:tc>
          <w:tcPr/>
          <w:p>
            <w:pPr>
              <w:pStyle w:val="Compact"/>
              <w:jc w:val="left"/>
            </w:pPr>
            <w:r>
              <w:t xml:space="preserve">35</w:t>
            </w:r>
          </w:p>
        </w:tc>
        <w:tc>
          <w:tcPr/>
          <w:p>
            <w:pPr>
              <w:pStyle w:val="Compact"/>
              <w:jc w:val="left"/>
            </w:pPr>
            <w:r>
              <w:t xml:space="preserve">210.00</w:t>
            </w:r>
          </w:p>
        </w:tc>
        <w:tc>
          <w:tcPr/>
          <w:p>
            <w:pPr>
              <w:pStyle w:val="Compact"/>
              <w:jc w:val="left"/>
            </w:pPr>
            <w:r>
              <w:t xml:space="preserve">7,350.00</w:t>
            </w:r>
          </w:p>
        </w:tc>
      </w:tr>
      <w:tr>
        <w:tc>
          <w:tcPr/>
          <w:p>
            <w:pPr>
              <w:pStyle w:val="Compact"/>
              <w:jc w:val="left"/>
            </w:pPr>
            <w:r>
              <w:t xml:space="preserve">4</w:t>
            </w:r>
          </w:p>
        </w:tc>
        <w:tc>
          <w:tcPr/>
          <w:p>
            <w:pPr>
              <w:pStyle w:val="Compact"/>
              <w:jc w:val="left"/>
            </w:pPr>
            <w:r>
              <w:t xml:space="preserve">Pharmaceutical Compounding Service – Custom Pediatric Syrup Preparation by Chemist</w:t>
            </w:r>
          </w:p>
        </w:tc>
        <w:tc>
          <w:tcPr/>
          <w:p>
            <w:pPr>
              <w:pStyle w:val="Compact"/>
              <w:jc w:val="left"/>
            </w:pPr>
            <w:r>
              <w:t xml:space="preserve">Professional Service</w:t>
            </w:r>
          </w:p>
        </w:tc>
        <w:tc>
          <w:tcPr/>
          <w:p>
            <w:pPr>
              <w:pStyle w:val="Compact"/>
              <w:jc w:val="left"/>
            </w:pPr>
            <w:r>
              <w:t xml:space="preserve">12</w:t>
            </w:r>
          </w:p>
        </w:tc>
        <w:tc>
          <w:tcPr/>
          <w:p>
            <w:pPr>
              <w:pStyle w:val="Compact"/>
              <w:jc w:val="left"/>
            </w:pPr>
            <w:r>
              <w:t xml:space="preserve">320.00</w:t>
            </w:r>
          </w:p>
        </w:tc>
        <w:tc>
          <w:tcPr/>
          <w:p>
            <w:pPr>
              <w:pStyle w:val="Compact"/>
              <w:jc w:val="left"/>
            </w:pPr>
            <w:r>
              <w:t xml:space="preserve">3,840.00</w:t>
            </w:r>
          </w:p>
        </w:tc>
      </w:tr>
      <w:tr>
        <w:tc>
          <w:tcPr/>
          <w:p>
            <w:pPr>
              <w:pStyle w:val="Compact"/>
              <w:jc w:val="left"/>
            </w:pPr>
            <w:r>
              <w:t xml:space="preserve">5</w:t>
            </w:r>
          </w:p>
        </w:tc>
        <w:tc>
          <w:tcPr/>
          <w:p>
            <w:pPr>
              <w:pStyle w:val="Compact"/>
              <w:jc w:val="left"/>
            </w:pPr>
            <w:r>
              <w:t xml:space="preserve">Medical Device Supply – Blood Pressure Monitors (Omron HEM-7120) – Chemist-Recommended</w:t>
            </w:r>
          </w:p>
        </w:tc>
        <w:tc>
          <w:tcPr/>
          <w:p>
            <w:pPr>
              <w:pStyle w:val="Compact"/>
              <w:jc w:val="left"/>
            </w:pPr>
            <w:r>
              <w:t xml:space="preserve">Medical Device</w:t>
            </w:r>
          </w:p>
        </w:tc>
        <w:tc>
          <w:tcPr/>
          <w:p>
            <w:pPr>
              <w:pStyle w:val="Compact"/>
              <w:jc w:val="left"/>
            </w:pPr>
            <w:r>
              <w:t xml:space="preserve">10</w:t>
            </w:r>
          </w:p>
        </w:tc>
        <w:tc>
          <w:tcPr/>
          <w:p>
            <w:pPr>
              <w:pStyle w:val="Compact"/>
              <w:jc w:val="left"/>
            </w:pPr>
            <w:r>
              <w:t xml:space="preserve">1,850.00</w:t>
            </w:r>
          </w:p>
        </w:tc>
        <w:tc>
          <w:tcPr/>
          <w:p>
            <w:pPr>
              <w:pStyle w:val="Compact"/>
              <w:jc w:val="left"/>
            </w:pPr>
            <w:r>
              <w:t xml:space="preserve">18,500.00</w:t>
            </w:r>
          </w:p>
        </w:tc>
      </w:tr>
      <w:tr>
        <w:tc>
          <w:tcPr/>
          <w:p>
            <w:pPr>
              <w:pStyle w:val="Compact"/>
              <w:jc w:val="left"/>
            </w:pPr>
            <w:r>
              <w:t xml:space="preserve">6</w:t>
            </w:r>
          </w:p>
        </w:tc>
        <w:tc>
          <w:tcPr/>
          <w:p>
            <w:pPr>
              <w:pStyle w:val="Compact"/>
              <w:jc w:val="left"/>
            </w:pPr>
            <w:r>
              <w:t xml:space="preserve">Pharmaceutical Consultation &amp; Drug Interaction Review – Chemist Professional Fee</w:t>
            </w:r>
          </w:p>
        </w:tc>
        <w:tc>
          <w:tcPr/>
          <w:p>
            <w:pPr>
              <w:pStyle w:val="Compact"/>
              <w:jc w:val="left"/>
            </w:pPr>
            <w:r>
              <w:t xml:space="preserve">Professional Service</w:t>
            </w:r>
          </w:p>
        </w:tc>
        <w:tc>
          <w:tcPr/>
          <w:p>
            <w:pPr>
              <w:pStyle w:val="Compact"/>
              <w:jc w:val="left"/>
            </w:pPr>
            <w:r>
              <w:t xml:space="preserve">8</w:t>
            </w:r>
          </w:p>
        </w:tc>
        <w:tc>
          <w:tcPr/>
          <w:p>
            <w:pPr>
              <w:pStyle w:val="Compact"/>
              <w:jc w:val="left"/>
            </w:pPr>
            <w:r>
              <w:t xml:space="preserve">450.00</w:t>
            </w:r>
          </w:p>
        </w:tc>
        <w:tc>
          <w:tcPr/>
          <w:p>
            <w:pPr>
              <w:pStyle w:val="Compact"/>
              <w:jc w:val="left"/>
            </w:pPr>
            <w:r>
              <w:t xml:space="preserve">3,600.00</w:t>
            </w:r>
          </w:p>
        </w:tc>
      </w:tr>
      <w:tr>
        <w:tc>
          <w:tcPr/>
          <w:p>
            <w:pPr>
              <w:pStyle w:val="Compact"/>
              <w:jc w:val="left"/>
            </w:pPr>
            <w:r>
              <w:t xml:space="preserve">7</w:t>
            </w:r>
          </w:p>
        </w:tc>
        <w:tc>
          <w:tcPr/>
          <w:p>
            <w:pPr>
              <w:pStyle w:val="Compact"/>
              <w:jc w:val="left"/>
            </w:pPr>
            <w:r>
              <w:t xml:space="preserve">Cold Chain Logistics &amp; Delivery within Turkey Istanbul Metropolitan Area</w:t>
            </w:r>
          </w:p>
        </w:tc>
        <w:tc>
          <w:tcPr/>
          <w:p>
            <w:pPr>
              <w:pStyle w:val="Compact"/>
              <w:jc w:val="left"/>
            </w:pPr>
            <w:r>
              <w:t xml:space="preserve">Logistics</w:t>
            </w:r>
          </w:p>
        </w:tc>
        <w:tc>
          <w:tcPr/>
          <w:p>
            <w:pPr>
              <w:pStyle w:val="Compact"/>
              <w:jc w:val="left"/>
            </w:pPr>
            <w:r>
              <w:t xml:space="preserve">1</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8</w:t>
            </w:r>
          </w:p>
        </w:tc>
        <w:tc>
          <w:tcPr/>
          <w:p>
            <w:pPr>
              <w:pStyle w:val="Compact"/>
              <w:jc w:val="left"/>
            </w:pPr>
            <w:r>
              <w:t xml:space="preserve">Pharmaceutical Waste Disposal &amp; Regulatory Compliance Service – Istanbul Municipality Approved</w:t>
            </w:r>
          </w:p>
        </w:tc>
        <w:tc>
          <w:tcPr/>
          <w:p>
            <w:pPr>
              <w:pStyle w:val="Compact"/>
              <w:jc w:val="left"/>
            </w:pPr>
            <w:r>
              <w:t xml:space="preserve">Compliance</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(TRY)</w:t>
            </w:r>
          </w:p>
        </w:tc>
        <w:tc>
          <w:tcPr/>
          <w:p>
            <w:pPr>
              <w:pStyle w:val="Compact"/>
              <w:jc w:val="left"/>
            </w:pPr>
            <w:r>
              <w:t xml:space="preserve">50,190.00</w:t>
            </w:r>
          </w:p>
        </w:tc>
      </w:tr>
      <w:tr>
        <w:tc>
          <w:tcPr/>
          <w:p>
            <w:pPr>
              <w:pStyle w:val="Compact"/>
              <w:jc w:val="left"/>
            </w:pPr>
            <w:r>
              <w:t xml:space="preserve">VAT / KDV (20%) – Turkey Istanbul Tax Authority</w:t>
            </w:r>
          </w:p>
        </w:tc>
        <w:tc>
          <w:tcPr/>
          <w:p>
            <w:pPr>
              <w:pStyle w:val="Compact"/>
              <w:jc w:val="left"/>
            </w:pPr>
            <w:r>
              <w:t xml:space="preserve">10,038.00</w:t>
            </w:r>
          </w:p>
        </w:tc>
      </w:tr>
      <w:tr>
        <w:tc>
          <w:tcPr/>
          <w:p>
            <w:pPr>
              <w:pStyle w:val="Compact"/>
              <w:jc w:val="left"/>
            </w:pPr>
            <w:r>
              <w:t xml:space="preserve">Discount – Corporate Chemist Partnership (5%)</w:t>
            </w:r>
          </w:p>
        </w:tc>
        <w:tc>
          <w:tcPr/>
          <w:p>
            <w:pPr>
              <w:pStyle w:val="Compact"/>
              <w:jc w:val="left"/>
            </w:pPr>
            <w:r>
              <w:t xml:space="preserve">-2,509.50</w:t>
            </w:r>
          </w:p>
        </w:tc>
      </w:tr>
      <w:tr>
        <w:tc>
          <w:tcPr/>
          <w:p>
            <w:pPr>
              <w:pStyle w:val="Compact"/>
              <w:jc w:val="left"/>
            </w:pPr>
            <w:r>
              <w:t xml:space="preserve">GRAND TOTAL (TRY)</w:t>
            </w:r>
          </w:p>
        </w:tc>
        <w:tc>
          <w:tcPr/>
          <w:p>
            <w:pPr>
              <w:pStyle w:val="Compact"/>
              <w:jc w:val="left"/>
            </w:pPr>
            <w:r>
              <w:t xml:space="preserve">57,718.50</w:t>
            </w:r>
          </w:p>
        </w:tc>
      </w:tr>
    </w:tbl>
    <w:bookmarkStart w:id="24" w:name="payment-terms-instructions"/>
    <w:p>
      <w:pPr>
        <w:pStyle w:val="Heading3"/>
      </w:pPr>
      <w:r>
        <w:t xml:space="preserve">Payment Terms &amp; Instructions</w:t>
      </w:r>
    </w:p>
    <w:p>
      <w:pPr>
        <w:pStyle w:val="FirstParagraph"/>
      </w:pPr>
      <w:r>
        <w:rPr>
          <w:bCs/>
          <w:b/>
        </w:rPr>
        <w:t xml:space="preserve">Payment Due:</w:t>
      </w:r>
      <w:r>
        <w:t xml:space="preserve"> </w:t>
      </w:r>
      <w:r>
        <w:t xml:space="preserve">Within 15 calendar days from the Invoice date (by 30 June 2025).</w:t>
      </w:r>
    </w:p>
    <w:p>
      <w:pPr>
        <w:pStyle w:val="BodyText"/>
      </w:pPr>
      <w:r>
        <w:rPr>
          <w:bCs/>
          <w:b/>
        </w:rPr>
        <w:t xml:space="preserve">Bank:</w:t>
      </w:r>
      <w:r>
        <w:t xml:space="preserve"> </w:t>
      </w:r>
      <w:r>
        <w:t xml:space="preserve">Ziraat Bankası A.Ş. – Istanbul Beyoğlu Branch</w:t>
      </w:r>
    </w:p>
    <w:p>
      <w:pPr>
        <w:pStyle w:val="BodyText"/>
      </w:pPr>
      <w:r>
        <w:rPr>
          <w:bCs/>
          <w:b/>
        </w:rPr>
        <w:t xml:space="preserve">Account Name:</w:t>
      </w:r>
      <w:r>
        <w:t xml:space="preserve"> </w:t>
      </w:r>
      <w:r>
        <w:t xml:space="preserve">İstanbul Eczanesi &amp; Chemist Services Ltd.</w:t>
      </w:r>
    </w:p>
    <w:p>
      <w:pPr>
        <w:pStyle w:val="BodyText"/>
      </w:pPr>
      <w:r>
        <w:rPr>
          <w:bCs/>
          <w:b/>
        </w:rPr>
        <w:t xml:space="preserve">IBAN:</w:t>
      </w:r>
      <w:r>
        <w:t xml:space="preserve"> </w:t>
      </w:r>
      <w:r>
        <w:t xml:space="preserve">TR33 0001 0002 3456 7890 1234 56</w:t>
      </w:r>
    </w:p>
    <w:p>
      <w:pPr>
        <w:pStyle w:val="BodyText"/>
      </w:pPr>
      <w:r>
        <w:rPr>
          <w:bCs/>
          <w:b/>
        </w:rPr>
        <w:t xml:space="preserve">SWIFT/BIC:</w:t>
      </w:r>
      <w:r>
        <w:t xml:space="preserve"> </w:t>
      </w:r>
      <w:r>
        <w:t xml:space="preserve">TCZBTR2A</w:t>
      </w:r>
    </w:p>
    <w:p>
      <w:pPr>
        <w:pStyle w:val="BodyText"/>
      </w:pPr>
      <w:r>
        <w:rPr>
          <w:bCs/>
          <w:b/>
        </w:rPr>
        <w:t xml:space="preserve">Reference:</w:t>
      </w:r>
      <w:r>
        <w:t xml:space="preserve"> </w:t>
      </w:r>
      <w:r>
        <w:t xml:space="preserve">Please include Invoice number INV-2024-IST-03847 in the payment reference field.</w:t>
      </w:r>
    </w:p>
    <w:p>
      <w:pPr>
        <w:pStyle w:val="BodyText"/>
      </w:pPr>
      <w:r>
        <w:rPr>
          <w:bCs/>
          <w:b/>
        </w:rPr>
        <w:t xml:space="preserve">Late Payment Penalty:</w:t>
      </w:r>
      <w:r>
        <w:t xml:space="preserve"> </w:t>
      </w:r>
      <w:r>
        <w:t xml:space="preserve">As per Turkish Commercial Code (Türk Ticaret Kanunu), a late payment interest of 1.5% per month will be applied to overdue amounts.</w:t>
      </w:r>
    </w:p>
    <w:bookmarkEnd w:id="24"/>
    <w:bookmarkStart w:id="25" w:name="important-notes-chemist-declarations"/>
    <w:p>
      <w:pPr>
        <w:pStyle w:val="Heading3"/>
      </w:pPr>
      <w:r>
        <w:t xml:space="preserve">Important Notes &amp; Chemist Declarations</w:t>
      </w:r>
    </w:p>
    <w:p>
      <w:pPr>
        <w:pStyle w:val="FirstParagraph"/>
      </w:pPr>
      <w:r>
        <w:t xml:space="preserve">1. This Invoice has been issued in accordance with the Turkish Pharmacy Law (Eczacılık Kanunu No. 5247) and the regulations of the Istanbul Pharmacy Chamber (İstanbul Eczacı Odası).</w:t>
      </w:r>
    </w:p>
    <w:p>
      <w:pPr>
        <w:pStyle w:val="BodyText"/>
      </w:pPr>
      <w:r>
        <w:t xml:space="preserve">2. All pharmaceutical products listed in this Invoice have been sourced from licensed distributors registered with the Turkish Ministry of Health (T.C. Sağlık Bakanlığı) and comply with Turkey Istanbul regional health authority standards.</w:t>
      </w:r>
    </w:p>
    <w:p>
      <w:pPr>
        <w:pStyle w:val="BodyText"/>
      </w:pPr>
      <w:r>
        <w:t xml:space="preserve">3. The Chemist responsible for dispensing and quality verification of all items listed herein is Ecz. Ayşe Kaya, holding a valid professional license issued by the Istanbul Pharmacy Chamber. All professional services rendered are covered under the Chemist's professional liability insurance policy No. TR-PLI-2024-99821.</w:t>
      </w:r>
    </w:p>
    <w:p>
      <w:pPr>
        <w:pStyle w:val="BodyText"/>
      </w:pPr>
      <w:r>
        <w:t xml:space="preserve">4. Prescription-based items (Items 1–3) were dispensed in full compliance with the original prescriptions provided by the treating physicians. Copies of prescriptions are retained at the Chemist's premises in Istanbul for the legally mandated retention period of five years.</w:t>
      </w:r>
    </w:p>
    <w:p>
      <w:pPr>
        <w:pStyle w:val="BodyText"/>
      </w:pPr>
      <w:r>
        <w:t xml:space="preserve">5. This Invoice is valid for accounting and tax purposes in the Republic of Turkey. The VAT (KDV) rate of 20% has been applied as mandated by the Turkey Istanbul tax authority for pharmaceutical goods and professional health services.</w:t>
      </w:r>
    </w:p>
    <w:p>
      <w:pPr>
        <w:pStyle w:val="BodyText"/>
      </w:pPr>
      <w:r>
        <w:t xml:space="preserve">6. Any disputes arising from this Invoice shall be subject to the jurisdiction of the Istanbul Commercial Courts (İstanbul Ticaret Mahkemeleri) in accordance with Turkish law.</w:t>
      </w:r>
    </w:p>
    <w:bookmarkEnd w:id="25"/>
    <w:p>
      <w:pPr>
        <w:pStyle w:val="BodyText"/>
      </w:pPr>
      <w:r>
        <w:t xml:space="preserve">Authorized Chemist Signature &amp; Official Stamp</w:t>
      </w:r>
    </w:p>
    <w:p>
      <w:pPr>
        <w:pStyle w:val="BodyText"/>
      </w:pPr>
      <w:r>
        <w:t xml:space="preserve">Ecz. Ayşe Kaya – Pharmacist in Charge</w:t>
      </w:r>
    </w:p>
    <w:p>
      <w:pPr>
        <w:pStyle w:val="BodyText"/>
      </w:pPr>
      <w:r>
        <w:t xml:space="preserve">İstanbul Eczanesi &amp; Chemist Services Ltd.</w:t>
      </w:r>
    </w:p>
    <w:p>
      <w:pPr>
        <w:pStyle w:val="BodyText"/>
      </w:pPr>
      <w:r>
        <w:t xml:space="preserve">Date: 15 June 2025 | Istanbul, Turkey</w:t>
      </w:r>
    </w:p>
    <w:p>
      <w:pPr>
        <w:pStyle w:val="BodyText"/>
      </w:pPr>
      <w:r>
        <w:rPr>
          <w:bCs/>
          <w:b/>
        </w:rPr>
        <w:t xml:space="preserve">İstanbul Eczanesi &amp; Chemist Services Ltd.</w:t>
      </w:r>
      <w:r>
        <w:t xml:space="preserve"> </w:t>
      </w:r>
      <w:r>
        <w:t xml:space="preserve">– Registered in the Istanbul Trade Registry, File No. 2019/45678</w:t>
      </w:r>
    </w:p>
    <w:p>
      <w:pPr>
        <w:pStyle w:val="BodyText"/>
      </w:pPr>
      <w:r>
        <w:t xml:space="preserve">Chemist License: TR-IST-2024-00847 | Istanbul Pharmacy Chamber Member No. 4521</w:t>
      </w:r>
    </w:p>
    <w:p>
      <w:pPr>
        <w:pStyle w:val="BodyText"/>
      </w:pPr>
      <w:r>
        <w:t xml:space="preserve">This Invoice was generated electronically and is legally valid under the Turkish Electronic Commerce Law (Elektronik Ticaretin Düzenlenmesi Hakkında Kanun No. 6563).</w:t>
      </w:r>
    </w:p>
    <w:p>
      <w:pPr>
        <w:pStyle w:val="BodyText"/>
      </w:pPr>
      <w:r>
        <w:t xml:space="preserve">For inquiries regarding this Invoice, please contact our billing department at billing@istanbulchemist.com.tr or +90 212 555 0142.</w:t>
      </w:r>
    </w:p>
    <w:p>
      <w:pPr>
        <w:pStyle w:val="BodyText"/>
      </w:pPr>
      <w:r>
        <w:t xml:space="preserve">© 2025 İstanbul Eczanesi &amp; Chemist Services Ltd. – Istanbul, Turkey.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Chemist Services - Turkey Istanbul</dc:title>
  <dc:creator/>
  <dc:language>en</dc:language>
  <cp:keywords/>
  <dcterms:created xsi:type="dcterms:W3CDTF">2026-10-10T02:48:49Z</dcterms:created>
  <dcterms:modified xsi:type="dcterms:W3CDTF">2026-10-10T02:48:49Z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