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chemist-pharmacy"/>
    <w:p>
      <w:pPr>
        <w:pStyle w:val="Heading1"/>
      </w:pPr>
      <w:r>
        <w:t xml:space="preserve">Al Noor Chemist &amp; Pharmacy</w:t>
      </w:r>
    </w:p>
    <w:p>
      <w:pPr>
        <w:pStyle w:val="FirstParagraph"/>
      </w:pPr>
      <w:r>
        <w:t xml:space="preserve">License No: AD-CHM-2024-08847</w:t>
      </w:r>
    </w:p>
    <w:p>
      <w:pPr>
        <w:pStyle w:val="BodyText"/>
      </w:pPr>
      <w:r>
        <w:t xml:space="preserve">Al Reem Island, Street 42, Building 17</w:t>
      </w:r>
    </w:p>
    <w:p>
      <w:pPr>
        <w:pStyle w:val="BodyText"/>
      </w:pPr>
      <w:r>
        <w:t xml:space="preserve">United Arab Emirates Abu Dhabi</w:t>
      </w:r>
    </w:p>
    <w:p>
      <w:pPr>
        <w:pStyle w:val="BodyText"/>
      </w:pPr>
      <w:r>
        <w:t xml:space="preserve">Tel: +971 2 555 8842 | Email: billing@alnoorchemist.ae</w:t>
      </w:r>
    </w:p>
    <w:p>
      <w:pPr>
        <w:pStyle w:val="BodyText"/>
      </w:pPr>
      <w:r>
        <w:t xml:space="preserve">TRN: 100234567800003</w:t>
      </w:r>
    </w:p>
    <w:p>
      <w:pPr>
        <w:pStyle w:val="BodyText"/>
      </w:pPr>
      <w:r>
        <w:t xml:space="preserve">DHA Licensed Chemist</w:t>
      </w:r>
    </w:p>
    <w:bookmarkEnd w:id="20"/>
    <w:bookmarkStart w:id="21" w:name="invoice"/>
    <w:p>
      <w:pPr>
        <w:pStyle w:val="Heading2"/>
      </w:pPr>
      <w:r>
        <w:t xml:space="preserve">INVOICE</w:t>
      </w:r>
    </w:p>
    <w:p>
      <w:pPr>
        <w:pStyle w:val="FirstParagraph"/>
      </w:pPr>
      <w:r>
        <w:t xml:space="preserve">Invoice No: INV-2025-04782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Customer Name:</w:t>
      </w:r>
      <w:r>
        <w:t xml:space="preserve"> </w:t>
      </w:r>
      <w:r>
        <w:t xml:space="preserve">Dr. Khalid Al Mansoori</w:t>
      </w:r>
    </w:p>
    <w:p>
      <w:pPr>
        <w:pStyle w:val="BodyText"/>
      </w:pPr>
      <w:r>
        <w:rPr>
          <w:bCs/>
          <w:b/>
        </w:rPr>
        <w:t xml:space="preserve">Organization:</w:t>
      </w:r>
      <w:r>
        <w:t xml:space="preserve"> </w:t>
      </w:r>
      <w:r>
        <w:t xml:space="preserve">Al Mansoori Medical Clinic</w:t>
      </w:r>
    </w:p>
    <w:p>
      <w:pPr>
        <w:pStyle w:val="BodyText"/>
      </w:pPr>
      <w:r>
        <w:rPr>
          <w:bCs/>
          <w:b/>
        </w:rPr>
        <w:t xml:space="preserve">Address:</w:t>
      </w:r>
      <w:r>
        <w:t xml:space="preserve"> </w:t>
      </w:r>
      <w:r>
        <w:t xml:space="preserve">Corniche Road, Al Markaziyah, United Arab Emirates Abu Dhabi</w:t>
      </w:r>
    </w:p>
    <w:p>
      <w:pPr>
        <w:pStyle w:val="BodyText"/>
      </w:pPr>
      <w:r>
        <w:rPr>
          <w:bCs/>
          <w:b/>
        </w:rPr>
        <w:t xml:space="preserve">Tax Registration No:</w:t>
      </w:r>
      <w:r>
        <w:t xml:space="preserve"> </w:t>
      </w:r>
      <w:r>
        <w:t xml:space="preserve">100987654300003</w:t>
      </w:r>
    </w:p>
    <w:p>
      <w:pPr>
        <w:pStyle w:val="BodyText"/>
      </w:pPr>
      <w:r>
        <w:rPr>
          <w:bCs/>
          <w:b/>
        </w:rPr>
        <w:t xml:space="preserve">Contact:</w:t>
      </w:r>
      <w:r>
        <w:t xml:space="preserve"> </w:t>
      </w:r>
      <w:r>
        <w:t xml:space="preserve">+971 50 123 4567</w:t>
      </w:r>
    </w:p>
    <w:bookmarkEnd w:id="22"/>
    <w:bookmarkStart w:id="23" w:name="invoice-details"/>
    <w:p>
      <w:pPr>
        <w:pStyle w:val="Heading3"/>
      </w:pPr>
      <w:r>
        <w:t xml:space="preserve">Invoice Details</w:t>
      </w:r>
    </w:p>
    <w:p>
      <w:pPr>
        <w:pStyle w:val="FirstParagraph"/>
      </w:pPr>
      <w:r>
        <w:rPr>
          <w:bCs/>
          <w:b/>
        </w:rPr>
        <w:t xml:space="preserve">Payment Method:</w:t>
      </w:r>
      <w:r>
        <w:t xml:space="preserve"> </w:t>
      </w:r>
      <w:r>
        <w:t xml:space="preserve">Bank Transfer</w:t>
      </w:r>
    </w:p>
    <w:p>
      <w:pPr>
        <w:pStyle w:val="BodyText"/>
      </w:pPr>
      <w:r>
        <w:rPr>
          <w:bCs/>
          <w:b/>
        </w:rPr>
        <w:t xml:space="preserve">Bank:</w:t>
      </w:r>
      <w:r>
        <w:t xml:space="preserve"> </w:t>
      </w:r>
      <w:r>
        <w:t xml:space="preserve">First Abu Dhabi Bank (FAB)</w:t>
      </w:r>
    </w:p>
    <w:p>
      <w:pPr>
        <w:pStyle w:val="BodyText"/>
      </w:pPr>
      <w:r>
        <w:rPr>
          <w:bCs/>
          <w:b/>
        </w:rPr>
        <w:t xml:space="preserve">Account No:</w:t>
      </w:r>
      <w:r>
        <w:t xml:space="preserve"> </w:t>
      </w:r>
      <w:r>
        <w:t xml:space="preserve">002-1234-5678-901</w:t>
      </w:r>
    </w:p>
    <w:p>
      <w:pPr>
        <w:pStyle w:val="BodyText"/>
      </w:pPr>
      <w:r>
        <w:rPr>
          <w:bCs/>
          <w:b/>
        </w:rPr>
        <w:t xml:space="preserve">IBAN:</w:t>
      </w:r>
      <w:r>
        <w:t xml:space="preserve"> </w:t>
      </w:r>
      <w:r>
        <w:t xml:space="preserve">AE0700000000000012345678</w:t>
      </w:r>
    </w:p>
    <w:p>
      <w:pPr>
        <w:pStyle w:val="BodyText"/>
      </w:pPr>
      <w:r>
        <w:rPr>
          <w:bCs/>
          <w:b/>
        </w:rPr>
        <w:t xml:space="preserve">Reference:</w:t>
      </w:r>
      <w:r>
        <w:t xml:space="preserve"> </w:t>
      </w:r>
      <w:r>
        <w:t xml:space="preserve">INV-2025-04782</w:t>
      </w:r>
    </w:p>
    <w:bookmarkEnd w:id="23"/>
    <w:bookmarkStart w:id="24" w:name="chemist-products-pharmaceutical-supplies"/>
    <w:p>
      <w:pPr>
        <w:pStyle w:val="Heading3"/>
      </w:pPr>
      <w:r>
        <w:t xml:space="preserve">Chemist Products &amp; Pharmaceutical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Amoxicillin 500mg Capsules (28 tablets) – Prescription Dispensed</w:t>
            </w:r>
          </w:p>
        </w:tc>
        <w:tc>
          <w:tcPr/>
          <w:p>
            <w:pPr>
              <w:pStyle w:val="Compact"/>
              <w:jc w:val="left"/>
            </w:pPr>
            <w:r>
              <w:t xml:space="preserve">CHM-AMX-500</w:t>
            </w:r>
          </w:p>
        </w:tc>
        <w:tc>
          <w:tcPr/>
          <w:p>
            <w:pPr>
              <w:pStyle w:val="Compact"/>
              <w:jc w:val="left"/>
            </w:pPr>
            <w:r>
              <w:t xml:space="preserve">10</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Ibuprofen 400mg Tablets (30 count) – Over-the-Counter Chemist Supply</w:t>
            </w:r>
          </w:p>
        </w:tc>
        <w:tc>
          <w:tcPr/>
          <w:p>
            <w:pPr>
              <w:pStyle w:val="Compact"/>
              <w:jc w:val="left"/>
            </w:pPr>
            <w:r>
              <w:t xml:space="preserve">CHM-IBU-400</w:t>
            </w:r>
          </w:p>
        </w:tc>
        <w:tc>
          <w:tcPr/>
          <w:p>
            <w:pPr>
              <w:pStyle w:val="Compact"/>
              <w:jc w:val="left"/>
            </w:pPr>
            <w:r>
              <w:t xml:space="preserve">25</w:t>
            </w:r>
          </w:p>
        </w:tc>
        <w:tc>
          <w:tcPr/>
          <w:p>
            <w:pPr>
              <w:pStyle w:val="Compact"/>
              <w:jc w:val="left"/>
            </w:pPr>
            <w:r>
              <w:t xml:space="preserve">28.50</w:t>
            </w:r>
          </w:p>
        </w:tc>
        <w:tc>
          <w:tcPr/>
          <w:p>
            <w:pPr>
              <w:pStyle w:val="Compact"/>
              <w:jc w:val="left"/>
            </w:pPr>
            <w:r>
              <w:t xml:space="preserve">712.50</w:t>
            </w:r>
          </w:p>
        </w:tc>
      </w:tr>
      <w:tr>
        <w:tc>
          <w:tcPr/>
          <w:p>
            <w:pPr>
              <w:pStyle w:val="Compact"/>
              <w:jc w:val="left"/>
            </w:pPr>
            <w:r>
              <w:t xml:space="preserve">3</w:t>
            </w:r>
          </w:p>
        </w:tc>
        <w:tc>
          <w:tcPr/>
          <w:p>
            <w:pPr>
              <w:pStyle w:val="Compact"/>
              <w:jc w:val="left"/>
            </w:pPr>
            <w:r>
              <w:t xml:space="preserve">Insulin Glargine 100 IU/mL Pen (3 pens) – Refrigerated Chemist Stock</w:t>
            </w:r>
          </w:p>
        </w:tc>
        <w:tc>
          <w:tcPr/>
          <w:p>
            <w:pPr>
              <w:pStyle w:val="Compact"/>
              <w:jc w:val="left"/>
            </w:pPr>
            <w:r>
              <w:t xml:space="preserve">CHM-INS-GLA</w:t>
            </w:r>
          </w:p>
        </w:tc>
        <w:tc>
          <w:tcPr/>
          <w:p>
            <w:pPr>
              <w:pStyle w:val="Compact"/>
              <w:jc w:val="left"/>
            </w:pPr>
            <w:r>
              <w:t xml:space="preserve">5</w:t>
            </w:r>
          </w:p>
        </w:tc>
        <w:tc>
          <w:tcPr/>
          <w:p>
            <w:pPr>
              <w:pStyle w:val="Compact"/>
              <w:jc w:val="left"/>
            </w:pPr>
            <w:r>
              <w:t xml:space="preserve">385.00</w:t>
            </w:r>
          </w:p>
        </w:tc>
        <w:tc>
          <w:tcPr/>
          <w:p>
            <w:pPr>
              <w:pStyle w:val="Compact"/>
              <w:jc w:val="left"/>
            </w:pPr>
            <w:r>
              <w:t xml:space="preserve">1,925.00</w:t>
            </w:r>
          </w:p>
        </w:tc>
      </w:tr>
      <w:tr>
        <w:tc>
          <w:tcPr/>
          <w:p>
            <w:pPr>
              <w:pStyle w:val="Compact"/>
              <w:jc w:val="left"/>
            </w:pPr>
            <w:r>
              <w:t xml:space="preserve">4</w:t>
            </w:r>
          </w:p>
        </w:tc>
        <w:tc>
          <w:tcPr/>
          <w:p>
            <w:pPr>
              <w:pStyle w:val="Compact"/>
              <w:jc w:val="left"/>
            </w:pPr>
            <w:r>
              <w:t xml:space="preserve">Metformin 850mg Tablets (60 count) – Chronic Care Chemist Order</w:t>
            </w:r>
          </w:p>
        </w:tc>
        <w:tc>
          <w:tcPr/>
          <w:p>
            <w:pPr>
              <w:pStyle w:val="Compact"/>
              <w:jc w:val="left"/>
            </w:pPr>
            <w:r>
              <w:t xml:space="preserve">CHM-MET-850</w:t>
            </w:r>
          </w:p>
        </w:tc>
        <w:tc>
          <w:tcPr/>
          <w:p>
            <w:pPr>
              <w:pStyle w:val="Compact"/>
              <w:jc w:val="left"/>
            </w:pPr>
            <w:r>
              <w:t xml:space="preserve">15</w:t>
            </w:r>
          </w:p>
        </w:tc>
        <w:tc>
          <w:tcPr/>
          <w:p>
            <w:pPr>
              <w:pStyle w:val="Compact"/>
              <w:jc w:val="left"/>
            </w:pPr>
            <w:r>
              <w:t xml:space="preserve">62.00</w:t>
            </w:r>
          </w:p>
        </w:tc>
        <w:tc>
          <w:tcPr/>
          <w:p>
            <w:pPr>
              <w:pStyle w:val="Compact"/>
              <w:jc w:val="left"/>
            </w:pPr>
            <w:r>
              <w:t xml:space="preserve">930.00</w:t>
            </w:r>
          </w:p>
        </w:tc>
      </w:tr>
      <w:tr>
        <w:tc>
          <w:tcPr/>
          <w:p>
            <w:pPr>
              <w:pStyle w:val="Compact"/>
              <w:jc w:val="left"/>
            </w:pPr>
            <w:r>
              <w:t xml:space="preserve">5</w:t>
            </w:r>
          </w:p>
        </w:tc>
        <w:tc>
          <w:tcPr/>
          <w:p>
            <w:pPr>
              <w:pStyle w:val="Compact"/>
              <w:jc w:val="left"/>
            </w:pPr>
            <w:r>
              <w:t xml:space="preserve">Sterile Gauze Pads 10x10cm (Box of 100) – Chemist Wound Care Supply</w:t>
            </w:r>
          </w:p>
        </w:tc>
        <w:tc>
          <w:tcPr/>
          <w:p>
            <w:pPr>
              <w:pStyle w:val="Compact"/>
              <w:jc w:val="left"/>
            </w:pPr>
            <w:r>
              <w:t xml:space="preserve">CHM-GAU-100</w:t>
            </w:r>
          </w:p>
        </w:tc>
        <w:tc>
          <w:tcPr/>
          <w:p>
            <w:pPr>
              <w:pStyle w:val="Compact"/>
              <w:jc w:val="left"/>
            </w:pPr>
            <w:r>
              <w:t xml:space="preserve">8</w:t>
            </w:r>
          </w:p>
        </w:tc>
        <w:tc>
          <w:tcPr/>
          <w:p>
            <w:pPr>
              <w:pStyle w:val="Compact"/>
              <w:jc w:val="left"/>
            </w:pPr>
            <w:r>
              <w:t xml:space="preserve">38.00</w:t>
            </w:r>
          </w:p>
        </w:tc>
        <w:tc>
          <w:tcPr/>
          <w:p>
            <w:pPr>
              <w:pStyle w:val="Compact"/>
              <w:jc w:val="left"/>
            </w:pPr>
            <w:r>
              <w:t xml:space="preserve">304.00</w:t>
            </w:r>
          </w:p>
        </w:tc>
      </w:tr>
      <w:tr>
        <w:tc>
          <w:tcPr/>
          <w:p>
            <w:pPr>
              <w:pStyle w:val="Compact"/>
              <w:jc w:val="left"/>
            </w:pPr>
            <w:r>
              <w:t xml:space="preserve">6</w:t>
            </w:r>
          </w:p>
        </w:tc>
        <w:tc>
          <w:tcPr/>
          <w:p>
            <w:pPr>
              <w:pStyle w:val="Compact"/>
              <w:jc w:val="left"/>
            </w:pPr>
            <w:r>
              <w:t xml:space="preserve">Oral Rehydration Salts (20 sachets) – Chemist Pediatric Section</w:t>
            </w:r>
          </w:p>
        </w:tc>
        <w:tc>
          <w:tcPr/>
          <w:p>
            <w:pPr>
              <w:pStyle w:val="Compact"/>
              <w:jc w:val="left"/>
            </w:pPr>
            <w:r>
              <w:t xml:space="preserve">CHM-ORS-20</w:t>
            </w:r>
          </w:p>
        </w:tc>
        <w:tc>
          <w:tcPr/>
          <w:p>
            <w:pPr>
              <w:pStyle w:val="Compact"/>
              <w:jc w:val="left"/>
            </w:pPr>
            <w:r>
              <w:t xml:space="preserve">12</w:t>
            </w:r>
          </w:p>
        </w:tc>
        <w:tc>
          <w:tcPr/>
          <w:p>
            <w:pPr>
              <w:pStyle w:val="Compact"/>
              <w:jc w:val="left"/>
            </w:pPr>
            <w:r>
              <w:t xml:space="preserve">22.00</w:t>
            </w:r>
          </w:p>
        </w:tc>
        <w:tc>
          <w:tcPr/>
          <w:p>
            <w:pPr>
              <w:pStyle w:val="Compact"/>
              <w:jc w:val="left"/>
            </w:pPr>
            <w:r>
              <w:t xml:space="preserve">264.00</w:t>
            </w:r>
          </w:p>
        </w:tc>
      </w:tr>
      <w:tr>
        <w:tc>
          <w:tcPr/>
          <w:p>
            <w:pPr>
              <w:pStyle w:val="Compact"/>
              <w:jc w:val="left"/>
            </w:pPr>
            <w:r>
              <w:t xml:space="preserve">7</w:t>
            </w:r>
          </w:p>
        </w:tc>
        <w:tc>
          <w:tcPr/>
          <w:p>
            <w:pPr>
              <w:pStyle w:val="Compact"/>
              <w:jc w:val="left"/>
            </w:pPr>
            <w:r>
              <w:t xml:space="preserve">Digital Blood Pressure Monitor – Chemist Medical Device</w:t>
            </w:r>
          </w:p>
        </w:tc>
        <w:tc>
          <w:tcPr/>
          <w:p>
            <w:pPr>
              <w:pStyle w:val="Compact"/>
              <w:jc w:val="left"/>
            </w:pPr>
            <w:r>
              <w:t xml:space="preserve">CHM-BPM-001</w:t>
            </w:r>
          </w:p>
        </w:tc>
        <w:tc>
          <w:tcPr/>
          <w:p>
            <w:pPr>
              <w:pStyle w:val="Compact"/>
              <w:jc w:val="left"/>
            </w:pPr>
            <w:r>
              <w:t xml:space="preserve">2</w:t>
            </w:r>
          </w:p>
        </w:tc>
        <w:tc>
          <w:tcPr/>
          <w:p>
            <w:pPr>
              <w:pStyle w:val="Compact"/>
              <w:jc w:val="left"/>
            </w:pPr>
            <w:r>
              <w:t xml:space="preserve">245.00</w:t>
            </w:r>
          </w:p>
        </w:tc>
        <w:tc>
          <w:tcPr/>
          <w:p>
            <w:pPr>
              <w:pStyle w:val="Compact"/>
              <w:jc w:val="left"/>
            </w:pPr>
            <w:r>
              <w:t xml:space="preserve">490.00</w:t>
            </w:r>
          </w:p>
        </w:tc>
      </w:tr>
      <w:tr>
        <w:tc>
          <w:tcPr/>
          <w:p>
            <w:pPr>
              <w:pStyle w:val="Compact"/>
              <w:jc w:val="left"/>
            </w:pPr>
            <w:r>
              <w:t xml:space="preserve">8</w:t>
            </w:r>
          </w:p>
        </w:tc>
        <w:tc>
          <w:tcPr/>
          <w:p>
            <w:pPr>
              <w:pStyle w:val="Compact"/>
              <w:jc w:val="left"/>
            </w:pPr>
            <w:r>
              <w:t xml:space="preserve">Pharmacy Compounding Service – Custom Formulation (per batch)</w:t>
            </w:r>
          </w:p>
        </w:tc>
        <w:tc>
          <w:tcPr/>
          <w:p>
            <w:pPr>
              <w:pStyle w:val="Compact"/>
              <w:jc w:val="left"/>
            </w:pPr>
            <w:r>
              <w:t xml:space="preserve">CHM-CMP-SVC</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5,525.50 AED</w:t>
            </w:r>
          </w:p>
        </w:tc>
      </w:tr>
      <w:tr>
        <w:tc>
          <w:tcPr/>
          <w:p>
            <w:pPr>
              <w:pStyle w:val="Compact"/>
              <w:jc w:val="left"/>
            </w:pPr>
            <w:r>
              <w:t xml:space="preserve">VAT (5% – United Arab Emirates Standard Rate)</w:t>
            </w:r>
          </w:p>
        </w:tc>
        <w:tc>
          <w:tcPr/>
          <w:p>
            <w:pPr>
              <w:pStyle w:val="Compact"/>
              <w:jc w:val="left"/>
            </w:pPr>
            <w:r>
              <w:t xml:space="preserve">276.28 AED</w:t>
            </w:r>
          </w:p>
        </w:tc>
      </w:tr>
      <w:tr>
        <w:tc>
          <w:tcPr/>
          <w:p>
            <w:pPr>
              <w:pStyle w:val="Compact"/>
              <w:jc w:val="left"/>
            </w:pPr>
            <w:r>
              <w:t xml:space="preserve">Delivery &amp; Cold Chain Handling Fee</w:t>
            </w:r>
          </w:p>
        </w:tc>
        <w:tc>
          <w:tcPr/>
          <w:p>
            <w:pPr>
              <w:pStyle w:val="Compact"/>
              <w:jc w:val="left"/>
            </w:pPr>
            <w:r>
              <w:t xml:space="preserve">75.00 AED</w:t>
            </w:r>
          </w:p>
        </w:tc>
      </w:tr>
      <w:tr>
        <w:tc>
          <w:tcPr/>
          <w:p>
            <w:pPr>
              <w:pStyle w:val="Compact"/>
              <w:jc w:val="left"/>
            </w:pPr>
            <w:r>
              <w:t xml:space="preserve">VAT on Delivery (5%)</w:t>
            </w:r>
          </w:p>
        </w:tc>
        <w:tc>
          <w:tcPr/>
          <w:p>
            <w:pPr>
              <w:pStyle w:val="Compact"/>
              <w:jc w:val="left"/>
            </w:pPr>
            <w:r>
              <w:t xml:space="preserve">3.75 AED</w:t>
            </w:r>
          </w:p>
        </w:tc>
      </w:tr>
      <w:tr>
        <w:tc>
          <w:tcPr/>
          <w:p>
            <w:pPr>
              <w:pStyle w:val="Compact"/>
              <w:jc w:val="left"/>
            </w:pPr>
            <w:r>
              <w:t xml:space="preserve">Discount – Corporate Chemist Account (3%)</w:t>
            </w:r>
          </w:p>
        </w:tc>
        <w:tc>
          <w:tcPr/>
          <w:p>
            <w:pPr>
              <w:pStyle w:val="Compact"/>
              <w:jc w:val="left"/>
            </w:pPr>
            <w:r>
              <w:t xml:space="preserve">-165.77 AED</w:t>
            </w:r>
          </w:p>
        </w:tc>
      </w:tr>
      <w:tr>
        <w:tc>
          <w:tcPr/>
          <w:p>
            <w:pPr>
              <w:pStyle w:val="Compact"/>
              <w:jc w:val="left"/>
            </w:pPr>
            <w:r>
              <w:t xml:space="preserve">GRAND TOTAL DUE</w:t>
            </w:r>
          </w:p>
        </w:tc>
        <w:tc>
          <w:tcPr/>
          <w:p>
            <w:pPr>
              <w:pStyle w:val="Compact"/>
              <w:jc w:val="left"/>
            </w:pPr>
            <w:r>
              <w:t xml:space="preserve">5,714.76 AED</w:t>
            </w:r>
          </w:p>
        </w:tc>
      </w:tr>
    </w:tbl>
    <w:bookmarkEnd w:id="24"/>
    <w:bookmarkStart w:id="25" w:name="payment-terms-conditions"/>
    <w:p>
      <w:pPr>
        <w:pStyle w:val="Heading3"/>
      </w:pPr>
      <w:r>
        <w:t xml:space="preserve">Payment Terms &amp; Conditions</w:t>
      </w:r>
    </w:p>
    <w:p>
      <w:pPr>
        <w:pStyle w:val="FirstParagraph"/>
      </w:pPr>
      <w:r>
        <w:t xml:space="preserve">This Invoice is issued by Al Noor Chemist &amp; Pharmacy, a licensed chemist operating in United Arab Emirates Abu Dhabi, in accordance with the regulations set forth by the Department of Health (DHA) Abu Dhabi and the Federal Tax Authority (FTA) of the United Arab Emirates.</w:t>
      </w:r>
    </w:p>
    <w:p>
      <w:pPr>
        <w:numPr>
          <w:ilvl w:val="0"/>
          <w:numId w:val="1001"/>
        </w:numPr>
        <w:pStyle w:val="Compact"/>
      </w:pPr>
      <w:r>
        <w:t xml:space="preserve">Payment is due within fourteen (14) calendar days from the date of this Invoice. Late payments shall incur a penalty of 2% per month as per UAE commercial law.</w:t>
      </w:r>
    </w:p>
    <w:p>
      <w:pPr>
        <w:numPr>
          <w:ilvl w:val="0"/>
          <w:numId w:val="1001"/>
        </w:numPr>
        <w:pStyle w:val="Compact"/>
      </w:pPr>
      <w:r>
        <w:t xml:space="preserve">All pharmaceutical products dispensed by this Chemist are subject to the UAE Medicines and Medical Devices Regulatory Authority (MDRA) guidelines. Prescription items require valid physician authorization.</w:t>
      </w:r>
    </w:p>
    <w:p>
      <w:pPr>
        <w:numPr>
          <w:ilvl w:val="0"/>
          <w:numId w:val="1001"/>
        </w:numPr>
        <w:pStyle w:val="Compact"/>
      </w:pPr>
      <w:r>
        <w:t xml:space="preserve">Refrigerated and temperature-sensitive items (including but not limited to insulin products) must be collected within 48 hours of dispatch. The Chemist assumes no liability for product degradation beyond this window.</w:t>
      </w:r>
    </w:p>
    <w:p>
      <w:pPr>
        <w:numPr>
          <w:ilvl w:val="0"/>
          <w:numId w:val="1001"/>
        </w:numPr>
        <w:pStyle w:val="Compact"/>
      </w:pPr>
      <w:r>
        <w:t xml:space="preserve">This Invoice includes the applicable 5% Value Added Tax (VAT) as mandated by the Federal Decree-Law No. 8 of 2017 on Value Added Tax in the United Arab Emirates.</w:t>
      </w:r>
    </w:p>
    <w:p>
      <w:pPr>
        <w:numPr>
          <w:ilvl w:val="0"/>
          <w:numId w:val="1001"/>
        </w:numPr>
        <w:pStyle w:val="Compact"/>
      </w:pPr>
      <w:r>
        <w:t xml:space="preserve">Any disputes regarding this Invoice must be raised in writing to the billing department of this Chemist within seven (7) business days of the Invoice date. All legal matters shall be governed by the laws of the United Arab Emirates, with jurisdiction in Abu Dhabi courts.</w:t>
      </w:r>
    </w:p>
    <w:p>
      <w:pPr>
        <w:numPr>
          <w:ilvl w:val="0"/>
          <w:numId w:val="1001"/>
        </w:numPr>
        <w:pStyle w:val="Compact"/>
      </w:pPr>
      <w:r>
        <w:t xml:space="preserve">Goods once dispensed by the Chemist are non-returnable unless a manufacturing defect is confirmed by the DHA Abu Dhabi product safety division.</w:t>
      </w:r>
    </w:p>
    <w:p>
      <w:pPr>
        <w:numPr>
          <w:ilvl w:val="0"/>
          <w:numId w:val="1001"/>
        </w:numPr>
        <w:pStyle w:val="Compact"/>
      </w:pPr>
      <w:r>
        <w:t xml:space="preserve">Corporate accounts registered with this Chemist in United Arab Emirates Abu Dhabi are eligible for quarterly consolidated billing upon written request.</w:t>
      </w:r>
    </w:p>
    <w:p>
      <w:pPr>
        <w:pStyle w:val="FirstParagraph"/>
      </w:pPr>
      <w:r>
        <w:rPr>
          <w:bCs/>
          <w:b/>
        </w:rPr>
        <w:t xml:space="preserve">Al Noor Chemist &amp; Pharmacy</w:t>
      </w:r>
      <w:r>
        <w:t xml:space="preserve"> </w:t>
      </w:r>
      <w:r>
        <w:t xml:space="preserve">| Al Reem Island, Street 42, Building 17, United Arab Emirates Abu Dhabi</w:t>
      </w:r>
    </w:p>
    <w:p>
      <w:pPr>
        <w:pStyle w:val="BodyText"/>
      </w:pPr>
      <w:r>
        <w:t xml:space="preserve">DHA License: AD-CHM-2024-08847 | TRN: 100234567800003 | Commercial Registration: AD-CR-2019-44521</w:t>
      </w:r>
    </w:p>
    <w:p>
      <w:pPr>
        <w:pStyle w:val="BodyText"/>
      </w:pPr>
      <w:r>
        <w:t xml:space="preserve">This is a computer-generated Invoice and does not require a physical signature. For queries, contact billing@alnoorchemist.ae or call +971 2 555 8842.</w:t>
      </w:r>
    </w:p>
    <w:p>
      <w:pPr>
        <w:pStyle w:val="BodyText"/>
      </w:pPr>
      <w:r>
        <w:t xml:space="preserve">© 2025 Al Noor Chemist &amp; Pharmacy, United Arab Emirates Abu Dhabi.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United Arab Emirates Abu Dhabi</dc:title>
  <dc:creator/>
  <dc:language>en</dc:language>
  <cp:keywords/>
  <dcterms:created xsi:type="dcterms:W3CDTF">2026-10-10T07:32:56Z</dcterms:created>
  <dcterms:modified xsi:type="dcterms:W3CDTF">2026-10-10T07:32:56Z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