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p>
      <w:pPr>
        <w:pStyle w:val="FirstParagraph"/>
      </w:pPr>
      <w:r>
        <w:t xml:space="preserve">INVOICE</w:t>
      </w:r>
    </w:p>
    <w:p>
      <w:pPr>
        <w:pStyle w:val="BodyText"/>
      </w:pPr>
      <w:r>
        <w:t xml:space="preserve">Professional Chemist Services &amp; Laboratory Analysis</w:t>
      </w:r>
    </w:p>
    <w:p>
      <w:pPr>
        <w:pStyle w:val="BodyText"/>
      </w:pPr>
      <w:r>
        <w:t xml:space="preserve">United States Houston</w:t>
      </w:r>
    </w:p>
    <w:bookmarkStart w:id="20" w:name="invoice-number"/>
    <w:p>
      <w:pPr>
        <w:pStyle w:val="Heading3"/>
      </w:pPr>
      <w:r>
        <w:t xml:space="preserve">Invoice Number:</w:t>
      </w:r>
    </w:p>
    <w:p>
      <w:pPr>
        <w:pStyle w:val="FirstParagraph"/>
      </w:pPr>
      <w:r>
        <w:t xml:space="preserve">INV-HOU-2025-04872</w:t>
      </w:r>
    </w:p>
    <w:bookmarkEnd w:id="20"/>
    <w:bookmarkStart w:id="21" w:name="invoice-date"/>
    <w:p>
      <w:pPr>
        <w:pStyle w:val="Heading3"/>
      </w:pPr>
      <w:r>
        <w:t xml:space="preserve">Invoice Date:</w:t>
      </w:r>
    </w:p>
    <w:p>
      <w:pPr>
        <w:pStyle w:val="FirstParagraph"/>
      </w:pPr>
      <w:r>
        <w:t xml:space="preserve">June 12, 2025</w:t>
      </w:r>
    </w:p>
    <w:bookmarkEnd w:id="21"/>
    <w:bookmarkStart w:id="22" w:name="due-date"/>
    <w:p>
      <w:pPr>
        <w:pStyle w:val="Heading3"/>
      </w:pPr>
      <w:r>
        <w:t xml:space="preserve">Due Date:</w:t>
      </w:r>
    </w:p>
    <w:p>
      <w:pPr>
        <w:pStyle w:val="FirstParagraph"/>
      </w:pPr>
      <w:r>
        <w:t xml:space="preserve">July 12, 2025</w:t>
      </w:r>
    </w:p>
    <w:bookmarkEnd w:id="22"/>
    <w:bookmarkStart w:id="23" w:name="payment-terms"/>
    <w:p>
      <w:pPr>
        <w:pStyle w:val="Heading3"/>
      </w:pPr>
      <w:r>
        <w:t xml:space="preserve">Payment Terms:</w:t>
      </w:r>
    </w:p>
    <w:p>
      <w:pPr>
        <w:pStyle w:val="FirstParagraph"/>
      </w:pPr>
      <w:r>
        <w:t xml:space="preserve">Net 30 Days</w:t>
      </w:r>
    </w:p>
    <w:bookmarkEnd w:id="23"/>
    <w:bookmarkStart w:id="24" w:name="chemist-service-provider"/>
    <w:p>
      <w:pPr>
        <w:pStyle w:val="Heading4"/>
      </w:pPr>
      <w:r>
        <w:t xml:space="preserve">Chemist / Service Provider</w:t>
      </w:r>
    </w:p>
    <w:p>
      <w:pPr>
        <w:pStyle w:val="FirstParagraph"/>
      </w:pPr>
      <w:r>
        <w:rPr>
          <w:bCs/>
          <w:b/>
        </w:rPr>
        <w:t xml:space="preserve">Dr. Margaret E. Calloway, Ph.D., C.P.C.</w:t>
      </w:r>
    </w:p>
    <w:p>
      <w:pPr>
        <w:pStyle w:val="BodyText"/>
      </w:pPr>
      <w:r>
        <w:t xml:space="preserve">Board-Certified Analytical Chemist</w:t>
      </w:r>
    </w:p>
    <w:p>
      <w:pPr>
        <w:pStyle w:val="BodyText"/>
      </w:pPr>
      <w:r>
        <w:t xml:space="preserve">Gulf Coast Chemical Laboratories, LLC</w:t>
      </w:r>
    </w:p>
    <w:p>
      <w:pPr>
        <w:pStyle w:val="BodyText"/>
      </w:pPr>
      <w:r>
        <w:t xml:space="preserve">4820 Westheimer Road, Suite 310</w:t>
      </w:r>
    </w:p>
    <w:p>
      <w:pPr>
        <w:pStyle w:val="BodyText"/>
      </w:pPr>
      <w:r>
        <w:t xml:space="preserve">Houston, Texas 77056</w:t>
      </w:r>
    </w:p>
    <w:p>
      <w:pPr>
        <w:pStyle w:val="BodyText"/>
      </w:pPr>
      <w:r>
        <w:t xml:space="preserve">United States</w:t>
      </w:r>
    </w:p>
    <w:p>
      <w:pPr>
        <w:pStyle w:val="BodyText"/>
      </w:pPr>
      <w:r>
        <w:t xml:space="preserve">Tel: (713) 555-0147</w:t>
      </w:r>
    </w:p>
    <w:p>
      <w:pPr>
        <w:pStyle w:val="BodyText"/>
      </w:pPr>
      <w:r>
        <w:t xml:space="preserve">Email: m.calloway@gulfcoastchem.com</w:t>
      </w:r>
    </w:p>
    <w:p>
      <w:pPr>
        <w:pStyle w:val="BodyText"/>
      </w:pPr>
      <w:r>
        <w:t xml:space="preserve">TIN: 84-2917365</w:t>
      </w:r>
    </w:p>
    <w:bookmarkEnd w:id="24"/>
    <w:bookmarkStart w:id="25" w:name="billed-to-client"/>
    <w:p>
      <w:pPr>
        <w:pStyle w:val="Heading4"/>
      </w:pPr>
      <w:r>
        <w:t xml:space="preserve">Billed To / Client</w:t>
      </w:r>
    </w:p>
    <w:p>
      <w:pPr>
        <w:pStyle w:val="FirstParagraph"/>
      </w:pPr>
      <w:r>
        <w:rPr>
          <w:bCs/>
          <w:b/>
        </w:rPr>
        <w:t xml:space="preserve">Meridian Petrochemical Solutions, Inc.</w:t>
      </w:r>
    </w:p>
    <w:p>
      <w:pPr>
        <w:pStyle w:val="BodyText"/>
      </w:pPr>
      <w:r>
        <w:t xml:space="preserve">Attn: Mr. David R. Thornton, Procurement Director</w:t>
      </w:r>
    </w:p>
    <w:p>
      <w:pPr>
        <w:pStyle w:val="BodyText"/>
      </w:pPr>
      <w:r>
        <w:t xml:space="preserve">1200 Louisiana Street, Floor 22</w:t>
      </w:r>
    </w:p>
    <w:p>
      <w:pPr>
        <w:pStyle w:val="BodyText"/>
      </w:pPr>
      <w:r>
        <w:t xml:space="preserve">Houston, Texas 77002</w:t>
      </w:r>
    </w:p>
    <w:p>
      <w:pPr>
        <w:pStyle w:val="BodyText"/>
      </w:pPr>
      <w:r>
        <w:t xml:space="preserve">United States</w:t>
      </w:r>
    </w:p>
    <w:p>
      <w:pPr>
        <w:pStyle w:val="BodyText"/>
      </w:pPr>
      <w:r>
        <w:t xml:space="preserve">Tel: (713) 555-0892</w:t>
      </w:r>
    </w:p>
    <w:p>
      <w:pPr>
        <w:pStyle w:val="BodyText"/>
      </w:pPr>
      <w:r>
        <w:t xml:space="preserve">Email: d.thornton@meridianpetro.com</w:t>
      </w:r>
    </w:p>
    <w:p>
      <w:pPr>
        <w:pStyle w:val="BodyText"/>
      </w:pPr>
      <w:r>
        <w:t xml:space="preserve">Client Account No.: MPCS-2024-1187</w:t>
      </w:r>
    </w:p>
    <w:bookmarkEnd w:id="25"/>
    <w:p>
      <w:pPr>
        <w:pStyle w:val="BodyText"/>
      </w:pPr>
      <w:r>
        <w:t xml:space="preserve">Invoice Description of Chemist Services Rendered</w:t>
      </w:r>
    </w:p>
    <w:p>
      <w:pPr>
        <w:pStyle w:val="BodyText"/>
      </w:pPr>
      <w:r>
        <w:t xml:space="preserve">This Invoice documents the professional services rendered by the undersigned Chemist, Dr. Margaret E. Calloway, in her capacity as a licensed analytical and environmental chemist operating within the metropolitan area of United States Houston. The following line items reflect the complete scope of laboratory analysis, chemical testing, and consulting engagements performed during the billing period of May 1, 2025, through June 10, 2025. All procedures were conducted in strict compliance with the Texas Department of State Health Services regulations, the United States Environmental Protection Agency (EPA) standards, and the Occupational Safety and Health Administration (OSHA) guidelines applicable to the Houston, Texas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Chemist 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Comprehensive water quality analysis for the client's Houston, Texas manufacturing facility. The Chemist performed full-spectrum testing including pH, dissolved oxygen, total suspended solids, heavy metal quantification (lead, mercury, arsenic, cadmium), and volatile organic compound (VOC) screening in accordance with EPA Method 524.2 and Texas Commission on Environmental Quality (TCEQ) protocols.</w:t>
            </w:r>
          </w:p>
        </w:tc>
        <w:tc>
          <w:tcPr/>
          <w:p>
            <w:pPr>
              <w:pStyle w:val="Compact"/>
              <w:jc w:val="left"/>
            </w:pPr>
            <w:r>
              <w:t xml:space="preserve">May 05, 2025</w:t>
            </w:r>
          </w:p>
        </w:tc>
        <w:tc>
          <w:tcPr/>
          <w:p>
            <w:pPr>
              <w:pStyle w:val="Compact"/>
              <w:jc w:val="left"/>
            </w:pPr>
            <w:r>
              <w:t xml:space="preserve">16 hrs</w:t>
            </w:r>
          </w:p>
        </w:tc>
        <w:tc>
          <w:tcPr/>
          <w:p>
            <w:pPr>
              <w:pStyle w:val="Compact"/>
              <w:jc w:val="left"/>
            </w:pPr>
            <w:r>
              <w:t xml:space="preserve">$185.00</w:t>
            </w:r>
          </w:p>
        </w:tc>
        <w:tc>
          <w:tcPr/>
          <w:p>
            <w:pPr>
              <w:pStyle w:val="Compact"/>
              <w:jc w:val="left"/>
            </w:pPr>
            <w:r>
              <w:t xml:space="preserve">$2,960.00</w:t>
            </w:r>
          </w:p>
        </w:tc>
      </w:tr>
      <w:tr>
        <w:tc>
          <w:tcPr/>
          <w:p>
            <w:pPr>
              <w:pStyle w:val="Compact"/>
              <w:jc w:val="left"/>
            </w:pPr>
            <w:r>
              <w:t xml:space="preserve">02</w:t>
            </w:r>
          </w:p>
        </w:tc>
        <w:tc>
          <w:tcPr/>
          <w:p>
            <w:pPr>
              <w:pStyle w:val="Compact"/>
              <w:jc w:val="left"/>
            </w:pPr>
            <w:r>
              <w:t xml:space="preserve">Atmospheric emission sampling and chemical composition analysis at the client's refinery operations in the Ship Channel district of United States Houston. The Chemist deployed portable gas chromatography equipment to measure sulfur dioxide, nitrogen oxides, particulate matter, and benzene concentrations over a 72-hour monitoring cycle.</w:t>
            </w:r>
          </w:p>
        </w:tc>
        <w:tc>
          <w:tcPr/>
          <w:p>
            <w:pPr>
              <w:pStyle w:val="Compact"/>
              <w:jc w:val="left"/>
            </w:pPr>
            <w:r>
              <w:t xml:space="preserve">May 14, 2025</w:t>
            </w:r>
          </w:p>
        </w:tc>
        <w:tc>
          <w:tcPr/>
          <w:p>
            <w:pPr>
              <w:pStyle w:val="Compact"/>
              <w:jc w:val="left"/>
            </w:pPr>
            <w:r>
              <w:t xml:space="preserve">24 hrs</w:t>
            </w:r>
          </w:p>
        </w:tc>
        <w:tc>
          <w:tcPr/>
          <w:p>
            <w:pPr>
              <w:pStyle w:val="Compact"/>
              <w:jc w:val="left"/>
            </w:pPr>
            <w:r>
              <w:t xml:space="preserve">$210.00</w:t>
            </w:r>
          </w:p>
        </w:tc>
        <w:tc>
          <w:tcPr/>
          <w:p>
            <w:pPr>
              <w:pStyle w:val="Compact"/>
              <w:jc w:val="left"/>
            </w:pPr>
            <w:r>
              <w:t xml:space="preserve">$5,040.00</w:t>
            </w:r>
          </w:p>
        </w:tc>
      </w:tr>
      <w:tr>
        <w:tc>
          <w:tcPr/>
          <w:p>
            <w:pPr>
              <w:pStyle w:val="Compact"/>
              <w:jc w:val="left"/>
            </w:pPr>
            <w:r>
              <w:t xml:space="preserve">03</w:t>
            </w:r>
          </w:p>
        </w:tc>
        <w:tc>
          <w:tcPr/>
          <w:p>
            <w:pPr>
              <w:pStyle w:val="Compact"/>
              <w:jc w:val="left"/>
            </w:pPr>
            <w:r>
              <w:t xml:space="preserve">Soil contamination assessment and remediation feasibility study for a 12-acre industrial parcel in the East End neighborhood of Houston, Texas. The Chemist conducted 48 borehole sampling points, performed X-ray fluorescence (XRF) analysis, and prepared a detailed geochemical report identifying hydrocarbon residues and polycyclic aromatic hydrocarbon (PAH) concentrations.</w:t>
            </w:r>
          </w:p>
        </w:tc>
        <w:tc>
          <w:tcPr/>
          <w:p>
            <w:pPr>
              <w:pStyle w:val="Compact"/>
              <w:jc w:val="left"/>
            </w:pPr>
            <w:r>
              <w:t xml:space="preserve">May 22, 2025</w:t>
            </w:r>
          </w:p>
        </w:tc>
        <w:tc>
          <w:tcPr/>
          <w:p>
            <w:pPr>
              <w:pStyle w:val="Compact"/>
              <w:jc w:val="left"/>
            </w:pPr>
            <w:r>
              <w:t xml:space="preserve">32 hrs</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04</w:t>
            </w:r>
          </w:p>
        </w:tc>
        <w:tc>
          <w:tcPr/>
          <w:p>
            <w:pPr>
              <w:pStyle w:val="Compact"/>
              <w:jc w:val="left"/>
            </w:pPr>
            <w:r>
              <w:t xml:space="preserve">Product formulation consultation and chemical compatibility testing for the client's new line of industrial cleaning agents. The Chemist evaluated surfactant interactions, corrosion inhibition efficacy, and biodegradability profiles using standardized ASTM test methods. Includes preparation of a 45-page technical report with recommended formulation adjustments.</w:t>
            </w:r>
          </w:p>
        </w:tc>
        <w:tc>
          <w:tcPr/>
          <w:p>
            <w:pPr>
              <w:pStyle w:val="Compact"/>
              <w:jc w:val="left"/>
            </w:pPr>
            <w:r>
              <w:t xml:space="preserve">June 03, 2025</w:t>
            </w:r>
          </w:p>
        </w:tc>
        <w:tc>
          <w:tcPr/>
          <w:p>
            <w:pPr>
              <w:pStyle w:val="Compact"/>
              <w:jc w:val="left"/>
            </w:pPr>
            <w:r>
              <w:t xml:space="preserve">20 hrs</w:t>
            </w:r>
          </w:p>
        </w:tc>
        <w:tc>
          <w:tcPr/>
          <w:p>
            <w:pPr>
              <w:pStyle w:val="Compact"/>
              <w:jc w:val="left"/>
            </w:pPr>
            <w:r>
              <w:t xml:space="preserve">$225.00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Emergency spill response chemical identification and hazard assessment at the client's distribution warehouse in the Port of Houston area. The Chemist was dispatched on a 24-hour call-out basis to identify an unknown chemical substance, determine its GHS hazard classification, and provide immediate mitigation recommendations to the on-site safety team.</w:t>
            </w:r>
          </w:p>
        </w:tc>
        <w:tc>
          <w:tcPr/>
          <w:p>
            <w:pPr>
              <w:pStyle w:val="Compact"/>
              <w:jc w:val="left"/>
            </w:pPr>
            <w:r>
              <w:t xml:space="preserve">June 08, 2025</w:t>
            </w:r>
          </w:p>
        </w:tc>
        <w:tc>
          <w:tcPr/>
          <w:p>
            <w:pPr>
              <w:pStyle w:val="Compact"/>
              <w:jc w:val="left"/>
            </w:pPr>
            <w:r>
              <w:t xml:space="preserve">12 hrs</w:t>
            </w:r>
          </w:p>
        </w:tc>
        <w:tc>
          <w:tcPr/>
          <w:p>
            <w:pPr>
              <w:pStyle w:val="Compact"/>
              <w:jc w:val="left"/>
            </w:pPr>
            <w:r>
              <w:t xml:space="preserve">$275.00</w:t>
            </w:r>
          </w:p>
        </w:tc>
        <w:tc>
          <w:tcPr/>
          <w:p>
            <w:pPr>
              <w:pStyle w:val="Compact"/>
              <w:jc w:val="left"/>
            </w:pPr>
            <w:r>
              <w:t xml:space="preserve">$3,300.00</w:t>
            </w:r>
          </w:p>
        </w:tc>
      </w:tr>
      <w:tr>
        <w:tc>
          <w:tcPr/>
          <w:p>
            <w:pPr>
              <w:pStyle w:val="Compact"/>
              <w:jc w:val="left"/>
            </w:pPr>
            <w:r>
              <w:t xml:space="preserve">06</w:t>
            </w:r>
          </w:p>
        </w:tc>
        <w:tc>
          <w:tcPr/>
          <w:p>
            <w:pPr>
              <w:pStyle w:val="Compact"/>
              <w:jc w:val="left"/>
            </w:pPr>
            <w:r>
              <w:t xml:space="preserve">Regulatory compliance documentation and quarterly environmental reporting support. The Chemist prepared and filed the required TCEQ quarterly discharge monitoring reports, EPA Form R (Toxics Release Inventory) submission, and OSHA chemical inventory updates for the client's three Houston, Texas operating sites.</w:t>
            </w:r>
          </w:p>
        </w:tc>
        <w:tc>
          <w:tcPr/>
          <w:p>
            <w:pPr>
              <w:pStyle w:val="Compact"/>
              <w:jc w:val="left"/>
            </w:pPr>
            <w:r>
              <w:t xml:space="preserve">June 10, 2025</w:t>
            </w:r>
          </w:p>
        </w:tc>
        <w:tc>
          <w:tcPr/>
          <w:p>
            <w:pPr>
              <w:pStyle w:val="Compact"/>
              <w:jc w:val="left"/>
            </w:pPr>
            <w:r>
              <w:t xml:space="preserve">10 hrs</w:t>
            </w:r>
          </w:p>
        </w:tc>
        <w:tc>
          <w:tcPr/>
          <w:p>
            <w:pPr>
              <w:pStyle w:val="Compact"/>
              <w:jc w:val="left"/>
            </w:pPr>
            <w:r>
              <w:t xml:space="preserve">$175.00</w:t>
            </w:r>
          </w:p>
        </w:tc>
        <w:tc>
          <w:tcPr/>
          <w:p>
            <w:pPr>
              <w:pStyle w:val="Compact"/>
              <w:jc w:val="left"/>
            </w:pPr>
            <w:r>
              <w:t xml:space="preserve">$1,750.00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$23,790.00</w:t>
            </w:r>
          </w:p>
        </w:tc>
      </w:tr>
      <w:tr>
        <w:tc>
          <w:tcPr/>
          <w:p>
            <w:pPr>
              <w:pStyle w:val="Compact"/>
              <w:jc w:val="left"/>
            </w:pPr>
            <w:r>
              <w:t xml:space="preserve">Applicable Sales &amp; Use Tax (Texas, 8.25%)</w:t>
            </w:r>
          </w:p>
        </w:tc>
        <w:tc>
          <w:tcPr/>
          <w:p>
            <w:pPr>
              <w:pStyle w:val="Compact"/>
              <w:jc w:val="left"/>
            </w:pPr>
            <w:r>
              <w:t xml:space="preserve">$1,962.68</w:t>
            </w:r>
          </w:p>
        </w:tc>
      </w:tr>
      <w:tr>
        <w:tc>
          <w:tcPr/>
          <w:p>
            <w:pPr>
              <w:pStyle w:val="Compact"/>
              <w:jc w:val="left"/>
            </w:pPr>
            <w:r>
              <w:t xml:space="preserve">Expedited Laboratory Consumables Surcharge</w:t>
            </w:r>
          </w:p>
        </w:tc>
        <w:tc>
          <w:tcPr/>
          <w:p>
            <w:pPr>
              <w:pStyle w:val="Compact"/>
              <w:jc w:val="left"/>
            </w:pPr>
            <w:r>
              <w:t xml:space="preserve">$485.00</w:t>
            </w:r>
          </w:p>
        </w:tc>
      </w:tr>
      <w:tr>
        <w:tc>
          <w:tcPr/>
          <w:p>
            <w:pPr>
              <w:pStyle w:val="Compact"/>
              <w:jc w:val="left"/>
            </w:pPr>
            <w:r>
              <w:t xml:space="preserve">Travel &amp; On-Site Mobilization (Houston Metro Area)</w:t>
            </w:r>
          </w:p>
        </w:tc>
        <w:tc>
          <w:tcPr/>
          <w:p>
            <w:pPr>
              <w:pStyle w:val="Compact"/>
              <w:jc w:val="left"/>
            </w:pPr>
            <w:r>
              <w:t xml:space="preserve">$320.00</w:t>
            </w:r>
          </w:p>
        </w:tc>
      </w:tr>
      <w:tr>
        <w:tc>
          <w:tcPr/>
          <w:p>
            <w:pPr>
              <w:pStyle w:val="Compact"/>
              <w:jc w:val="left"/>
            </w:pPr>
            <w:r>
              <w:t xml:space="preserve">Grand Total Due</w:t>
            </w:r>
          </w:p>
        </w:tc>
        <w:tc>
          <w:tcPr/>
          <w:p>
            <w:pPr>
              <w:pStyle w:val="Compact"/>
              <w:jc w:val="left"/>
            </w:pPr>
            <w:r>
              <w:t xml:space="preserve">$26,557.68</w:t>
            </w:r>
          </w:p>
        </w:tc>
      </w:tr>
    </w:tbl>
    <w:bookmarkStart w:id="26" w:name="X6ab0c09bf7728b7cbcd67316d8d755c863c17d8"/>
    <w:p>
      <w:pPr>
        <w:pStyle w:val="Heading4"/>
      </w:pPr>
      <w:r>
        <w:t xml:space="preserve">Invoice Payment Instructions &amp; Important Notes</w:t>
      </w:r>
    </w:p>
    <w:p>
      <w:pPr>
        <w:pStyle w:val="FirstParagraph"/>
      </w:pPr>
      <w:r>
        <w:rPr>
          <w:bCs/>
          <w:b/>
        </w:rPr>
        <w:t xml:space="preserve">Payment Method:</w:t>
      </w:r>
      <w:r>
        <w:t xml:space="preserve"> </w:t>
      </w:r>
      <w:r>
        <w:t xml:space="preserve">This Invoice is payable via wire transfer, ACH, or certified check. Please reference Invoice Number INV-HOU-2025-04872 on all remittances. Wire transfer details: Gulf Coast Chemical Laboratories, LLC, First National Bank of Houston, Routing No. 071000013, Account No. 4482-7719-003. For ACH payments, contact our accounts receivable department at (713) 555-0147, Option 2.</w:t>
      </w:r>
    </w:p>
    <w:p>
      <w:pPr>
        <w:pStyle w:val="BodyText"/>
      </w:pPr>
      <w:r>
        <w:rPr>
          <w:bCs/>
          <w:b/>
        </w:rPr>
        <w:t xml:space="preserve">Payment Deadline:</w:t>
      </w:r>
      <w:r>
        <w:t xml:space="preserve"> </w:t>
      </w:r>
      <w:r>
        <w:t xml:space="preserve">The full amount of this Invoice is due within thirty (30) calendar days of the Invoice date, no later than July 12, 2025. Late payments will be subject to a monthly interest charge of 1.5% as stipulated in the master service agreement dated January 15, 2024, between the Chemist and the client.</w:t>
      </w:r>
    </w:p>
    <w:p>
      <w:pPr>
        <w:pStyle w:val="BodyText"/>
      </w:pPr>
      <w:r>
        <w:rPr>
          <w:bCs/>
          <w:b/>
        </w:rPr>
        <w:t xml:space="preserve">Scope Confirmation:</w:t>
      </w:r>
      <w:r>
        <w:t xml:space="preserve"> </w:t>
      </w:r>
      <w:r>
        <w:t xml:space="preserve">All Chemist services listed in this Invoice were performed at the client's request and in accordance with the Statement of Work (SOW) attached to the master agreement. Any additional services performed beyond the original scope have been pre-approved in writing by the client's procurement department.</w:t>
      </w:r>
    </w:p>
    <w:p>
      <w:pPr>
        <w:pStyle w:val="BodyText"/>
      </w:pPr>
      <w:r>
        <w:rPr>
          <w:bCs/>
          <w:b/>
        </w:rPr>
        <w:t xml:space="preserve">Regulatory Compliance:</w:t>
      </w:r>
      <w:r>
        <w:t xml:space="preserve"> </w:t>
      </w:r>
      <w:r>
        <w:t xml:space="preserve">All laboratory analyses and field sampling conducted by the Chemist were performed in full compliance with the United States federal regulations, the State of Texas environmental statutes, and the municipal ordinances of the City of Houston. Certificates of analysis and chain-of-custody documentation are available upon request and are retained in the laboratory records for a minimum of seven (7) years as required by TCEQ.</w:t>
      </w:r>
    </w:p>
    <w:p>
      <w:pPr>
        <w:pStyle w:val="BodyText"/>
      </w:pPr>
      <w:r>
        <w:rPr>
          <w:bCs/>
          <w:b/>
        </w:rPr>
        <w:t xml:space="preserve">Dispute Resolution:</w:t>
      </w:r>
      <w:r>
        <w:t xml:space="preserve"> </w:t>
      </w:r>
      <w:r>
        <w:t xml:space="preserve">Any disputes regarding the charges on this Invoice must be submitted in writing to the undersigned Chemist within fifteen (15) business days of receipt. Unresolved disputes shall be governed by the arbitration clause in the master service agreement, with proceedings to be held in Harris County, Houston, Texas, United States.</w:t>
      </w:r>
    </w:p>
    <w:p>
      <w:pPr>
        <w:pStyle w:val="BodyText"/>
      </w:pPr>
      <w:r>
        <w:rPr>
          <w:bCs/>
          <w:b/>
        </w:rPr>
        <w:t xml:space="preserve">Thank You:</w:t>
      </w:r>
      <w:r>
        <w:t xml:space="preserve"> </w:t>
      </w:r>
      <w:r>
        <w:t xml:space="preserve">We appreciate the continued trust and partnership. Gulf Coast Chemical Laboratories, LLC is proud to serve the industrial and commercial community of United States Houston with the highest standards of chemical science and professional integrity.</w:t>
      </w:r>
    </w:p>
    <w:bookmarkEnd w:id="26"/>
    <w:p>
      <w:pPr>
        <w:pStyle w:val="BodyText"/>
      </w:pPr>
      <w:r>
        <w:rPr>
          <w:bCs/>
          <w:b/>
        </w:rPr>
        <w:t xml:space="preserve">Authorized Signature:</w:t>
      </w:r>
      <w:r>
        <w:t xml:space="preserve"> </w:t>
      </w:r>
      <w:r>
        <w:t xml:space="preserve">Dr. Margaret E. Calloway, Ph.D., C.P.C. — Lead Chemist &amp; Principal, Gulf Coast Chemical Laboratories, LLC</w:t>
      </w:r>
    </w:p>
    <w:p>
      <w:pPr>
        <w:pStyle w:val="BodyText"/>
      </w:pPr>
      <w:r>
        <w:t xml:space="preserve">License No.: TX-CHM-2019-00482 | United States Houston, Texas 77056</w:t>
      </w:r>
    </w:p>
    <w:p>
      <w:pPr>
        <w:pStyle w:val="BodyText"/>
      </w:pPr>
      <w:r>
        <w:t xml:space="preserve">This Invoice is a legally binding document. Please retain for your records. For questions regarding this Invoice, contact our billing office at billing@gulfcoastchem.com or (713) 555-0147, Monday through Friday, 8:00 AM to 5:00 PM Central Time.</w:t>
      </w:r>
    </w:p>
    <w:p>
      <w:pPr>
        <w:pStyle w:val="BodyText"/>
      </w:pPr>
      <w:r>
        <w:t xml:space="preserve">© 2025 Gulf Coast Chemical Laboratories, LLC. All rights reserved. Document generated in Houston, Texas,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Services - United States Houston</dc:title>
  <dc:creator/>
  <dc:language>en</dc:language>
  <cp:keywords/>
  <dcterms:created xsi:type="dcterms:W3CDTF">2026-10-10T04:33:49Z</dcterms:created>
  <dcterms:modified xsi:type="dcterms:W3CDTF">2026-10-10T04:33:49Z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