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Chemist</w:t>
      </w:r>
      <w:r>
        <w:t xml:space="preserve"> </w:t>
      </w:r>
      <w:r>
        <w:t xml:space="preserve">Services</w:t>
      </w:r>
      <w:r>
        <w:t xml:space="preserve"> </w:t>
      </w:r>
      <w:r>
        <w:t xml:space="preserve">-</w:t>
      </w:r>
      <w:r>
        <w:t xml:space="preserve"> </w:t>
      </w:r>
      <w:r>
        <w:t xml:space="preserve">Los</w:t>
      </w:r>
      <w:r>
        <w:t xml:space="preserve"> </w:t>
      </w:r>
      <w:r>
        <w:t xml:space="preserve">Angeles,</w:t>
      </w:r>
      <w:r>
        <w:t xml:space="preserve"> </w:t>
      </w:r>
      <w:r>
        <w:t xml:space="preserve">United</w:t>
      </w:r>
      <w:r>
        <w:t xml:space="preserve"> </w:t>
      </w:r>
      <w:r>
        <w:t xml:space="preserve">States</w:t>
      </w:r>
    </w:p>
    <w:p>
      <w:pPr>
        <w:pStyle w:val="FirstParagraph"/>
      </w:pPr>
      <w:r>
        <w:t xml:space="preserve">INVOICE</w:t>
      </w:r>
    </w:p>
    <w:p>
      <w:pPr>
        <w:pStyle w:val="BodyText"/>
      </w:pPr>
      <w:r>
        <w:t xml:space="preserve">Professional Chemist Services &amp; Laboratory Analysis</w:t>
      </w:r>
    </w:p>
    <w:bookmarkStart w:id="20" w:name="invoice-number"/>
    <w:p>
      <w:pPr>
        <w:pStyle w:val="Heading3"/>
      </w:pPr>
      <w:r>
        <w:t xml:space="preserve">Invoice Number:</w:t>
      </w:r>
    </w:p>
    <w:p>
      <w:pPr>
        <w:pStyle w:val="FirstParagraph"/>
      </w:pPr>
      <w:r>
        <w:t xml:space="preserve">INV-LA-2025-04872</w:t>
      </w:r>
    </w:p>
    <w:bookmarkEnd w:id="20"/>
    <w:bookmarkStart w:id="21" w:name="issue-date"/>
    <w:p>
      <w:pPr>
        <w:pStyle w:val="Heading3"/>
      </w:pPr>
      <w:r>
        <w:t xml:space="preserve">Issue Date:</w:t>
      </w:r>
    </w:p>
    <w:p>
      <w:pPr>
        <w:pStyle w:val="FirstParagraph"/>
      </w:pPr>
      <w:r>
        <w:t xml:space="preserve">June 15, 2025</w:t>
      </w:r>
    </w:p>
    <w:bookmarkEnd w:id="21"/>
    <w:bookmarkStart w:id="22" w:name="due-date"/>
    <w:p>
      <w:pPr>
        <w:pStyle w:val="Heading3"/>
      </w:pPr>
      <w:r>
        <w:t xml:space="preserve">Due Date:</w:t>
      </w:r>
    </w:p>
    <w:p>
      <w:pPr>
        <w:pStyle w:val="FirstParagraph"/>
      </w:pPr>
      <w:r>
        <w:t xml:space="preserve">July 15, 2025</w:t>
      </w:r>
    </w:p>
    <w:p>
      <w:pPr>
        <w:pStyle w:val="BodyText"/>
      </w:pPr>
      <w:r>
        <w:t xml:space="preserve">PENDING PAYMENT</w:t>
      </w:r>
    </w:p>
    <w:bookmarkEnd w:id="22"/>
    <w:bookmarkStart w:id="23" w:name="from-service-provider"/>
    <w:p>
      <w:pPr>
        <w:pStyle w:val="Heading4"/>
      </w:pPr>
      <w:r>
        <w:t xml:space="preserve">FROM (Service Provider):</w:t>
      </w:r>
    </w:p>
    <w:p>
      <w:pPr>
        <w:pStyle w:val="FirstParagraph"/>
      </w:pPr>
      <w:r>
        <w:rPr>
          <w:bCs/>
          <w:b/>
        </w:rPr>
        <w:t xml:space="preserve">Dr. Eleanor M. Vasquez, Ph.D., R.Ph.</w:t>
      </w:r>
    </w:p>
    <w:p>
      <w:pPr>
        <w:pStyle w:val="BodyText"/>
      </w:pPr>
      <w:r>
        <w:t xml:space="preserve">Lead Chemist &amp; Principal Investigator</w:t>
      </w:r>
    </w:p>
    <w:p>
      <w:pPr>
        <w:pStyle w:val="BodyText"/>
      </w:pPr>
      <w:r>
        <w:t xml:space="preserve">Vasquez Analytical Chemistry Laboratory</w:t>
      </w:r>
    </w:p>
    <w:p>
      <w:pPr>
        <w:pStyle w:val="BodyText"/>
      </w:pPr>
      <w:r>
        <w:t xml:space="preserve">2847 West Olympic Boulevard, Suite 412</w:t>
      </w:r>
    </w:p>
    <w:p>
      <w:pPr>
        <w:pStyle w:val="BodyText"/>
      </w:pPr>
      <w:r>
        <w:t xml:space="preserve">Los Angeles, California 90018</w:t>
      </w:r>
    </w:p>
    <w:p>
      <w:pPr>
        <w:pStyle w:val="BodyText"/>
      </w:pPr>
      <w:r>
        <w:t xml:space="preserve">United States of America</w:t>
      </w:r>
    </w:p>
    <w:p>
      <w:pPr>
        <w:pStyle w:val="BodyText"/>
      </w:pPr>
      <w:r>
        <w:t xml:space="preserve">Tel: (213) 555-0192</w:t>
      </w:r>
    </w:p>
    <w:p>
      <w:pPr>
        <w:pStyle w:val="BodyText"/>
      </w:pPr>
      <w:r>
        <w:t xml:space="preserve">Email: e.vasquez@vasquezchemlab.com</w:t>
      </w:r>
    </w:p>
    <w:p>
      <w:pPr>
        <w:pStyle w:val="BodyText"/>
      </w:pPr>
      <w:r>
        <w:t xml:space="preserve">CA Chemist License No.: C-2019-44871</w:t>
      </w:r>
    </w:p>
    <w:bookmarkEnd w:id="23"/>
    <w:bookmarkStart w:id="24" w:name="billed-to-client"/>
    <w:p>
      <w:pPr>
        <w:pStyle w:val="Heading4"/>
      </w:pPr>
      <w:r>
        <w:t xml:space="preserve">BILLED TO (Client):</w:t>
      </w:r>
    </w:p>
    <w:p>
      <w:pPr>
        <w:pStyle w:val="FirstParagraph"/>
      </w:pPr>
      <w:r>
        <w:rPr>
          <w:bCs/>
          <w:b/>
        </w:rPr>
        <w:t xml:space="preserve">Pacific Coast Pharmaceutical Group, Inc.</w:t>
      </w:r>
    </w:p>
    <w:p>
      <w:pPr>
        <w:pStyle w:val="BodyText"/>
      </w:pPr>
      <w:r>
        <w:t xml:space="preserve">Attn: Mr. David R. Thornton, VP of R&amp;D</w:t>
      </w:r>
    </w:p>
    <w:p>
      <w:pPr>
        <w:pStyle w:val="BodyText"/>
      </w:pPr>
      <w:r>
        <w:t xml:space="preserve">1500 South Grand Avenue, Floor 22</w:t>
      </w:r>
    </w:p>
    <w:p>
      <w:pPr>
        <w:pStyle w:val="BodyText"/>
      </w:pPr>
      <w:r>
        <w:t xml:space="preserve">Los Angeles, California 90015</w:t>
      </w:r>
    </w:p>
    <w:p>
      <w:pPr>
        <w:pStyle w:val="BodyText"/>
      </w:pPr>
      <w:r>
        <w:t xml:space="preserve">United States of America</w:t>
      </w:r>
    </w:p>
    <w:p>
      <w:pPr>
        <w:pStyle w:val="BodyText"/>
      </w:pPr>
      <w:r>
        <w:t xml:space="preserve">Tel: (323) 555-7741</w:t>
      </w:r>
    </w:p>
    <w:p>
      <w:pPr>
        <w:pStyle w:val="BodyText"/>
      </w:pPr>
      <w:r>
        <w:t xml:space="preserve">Email: d.thornton@pacificcoastpharma.com</w:t>
      </w:r>
    </w:p>
    <w:p>
      <w:pPr>
        <w:pStyle w:val="BodyText"/>
      </w:pPr>
      <w:r>
        <w:t xml:space="preserve">Federal EIN: 84-2917365</w:t>
      </w:r>
    </w:p>
    <w:bookmarkEnd w:id="24"/>
    <w:p>
      <w:pPr>
        <w:pStyle w:val="BodyText"/>
      </w:pPr>
      <w:r>
        <w:t xml:space="preserve">Description of Chemist Services Rendered</w:t>
      </w:r>
    </w:p>
    <w:p>
      <w:pPr>
        <w:pStyle w:val="BodyText"/>
      </w:pPr>
      <w:r>
        <w:t xml:space="preserve">The following invoice pertains to professional chemist services, laboratory analyses, and chemical consulting engagements performed by Dr. Eleanor M. Vasquez and her team of licensed chemists at the Vasquez Analytical Chemistry Laboratory, located in the city of Los Angeles, California, United States. All services were conducted in compliance with the California Board of Pharmacy regulations, the United States Environmental Protection Agency (EPA) guidelines, and the Occupational Safety and Health Administration (OSHA) standards applicable to chemical handling and laboratory operations within the State of California.</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w:t>
            </w:r>
          </w:p>
        </w:tc>
        <w:tc>
          <w:tcPr/>
          <w:p>
            <w:pPr>
              <w:pStyle w:val="Compact"/>
              <w:jc w:val="left"/>
            </w:pPr>
            <w:r>
              <w:t xml:space="preserve">Service / Description</w:t>
            </w:r>
          </w:p>
        </w:tc>
        <w:tc>
          <w:tcPr/>
          <w:p>
            <w:pPr>
              <w:pStyle w:val="Compact"/>
              <w:jc w:val="left"/>
            </w:pPr>
            <w:r>
              <w:t xml:space="preserve">Chemist Hours</w:t>
            </w:r>
          </w:p>
        </w:tc>
        <w:tc>
          <w:tcPr/>
          <w:p>
            <w:pPr>
              <w:pStyle w:val="Compact"/>
              <w:jc w:val="left"/>
            </w:pPr>
            <w:r>
              <w:t xml:space="preserve">Rate (USD)</w:t>
            </w:r>
          </w:p>
        </w:tc>
        <w:tc>
          <w:tcPr/>
          <w:p>
            <w:pPr>
              <w:pStyle w:val="Compact"/>
              <w:jc w:val="left"/>
            </w:pPr>
            <w:r>
              <w:t xml:space="preserve">Amount (USD)</w:t>
            </w:r>
          </w:p>
        </w:tc>
      </w:tr>
      <w:tr>
        <w:tc>
          <w:tcPr/>
          <w:p>
            <w:pPr>
              <w:pStyle w:val="Compact"/>
              <w:jc w:val="left"/>
            </w:pPr>
            <w:r>
              <w:t xml:space="preserve">01</w:t>
            </w:r>
          </w:p>
        </w:tc>
        <w:tc>
          <w:tcPr/>
          <w:p>
            <w:pPr>
              <w:pStyle w:val="Compact"/>
              <w:jc w:val="left"/>
            </w:pPr>
            <w:r>
              <w:t xml:space="preserve">Comprehensive chemical composition analysis of pharmaceutical-grade raw materials (Lot #PCG-2025-118) including HPLC, GC-MS, and FTIR spectroscopy performed by senior chemist staff in the Los Angeles laboratory facility.</w:t>
            </w:r>
          </w:p>
        </w:tc>
        <w:tc>
          <w:tcPr/>
          <w:p>
            <w:pPr>
              <w:pStyle w:val="Compact"/>
              <w:jc w:val="left"/>
            </w:pPr>
            <w:r>
              <w:t xml:space="preserve">24.0</w:t>
            </w:r>
          </w:p>
        </w:tc>
        <w:tc>
          <w:tcPr/>
          <w:p>
            <w:pPr>
              <w:pStyle w:val="Compact"/>
              <w:jc w:val="left"/>
            </w:pPr>
            <w:r>
              <w:t xml:space="preserve">$185.00</w:t>
            </w:r>
          </w:p>
        </w:tc>
        <w:tc>
          <w:tcPr/>
          <w:p>
            <w:pPr>
              <w:pStyle w:val="Compact"/>
              <w:jc w:val="left"/>
            </w:pPr>
            <w:r>
              <w:t xml:space="preserve">$4,440.00</w:t>
            </w:r>
          </w:p>
        </w:tc>
      </w:tr>
      <w:tr>
        <w:tc>
          <w:tcPr/>
          <w:p>
            <w:pPr>
              <w:pStyle w:val="Compact"/>
              <w:jc w:val="left"/>
            </w:pPr>
            <w:r>
              <w:t xml:space="preserve">02</w:t>
            </w:r>
          </w:p>
        </w:tc>
        <w:tc>
          <w:tcPr/>
          <w:p>
            <w:pPr>
              <w:pStyle w:val="Compact"/>
              <w:jc w:val="left"/>
            </w:pPr>
            <w:r>
              <w:t xml:space="preserve">Formulation development and stability testing for new drug compound PCG-7741. Includes accelerated stability studies per ICH Q1A guidelines, conducted over a 14-day period by the chemist research team.</w:t>
            </w:r>
          </w:p>
        </w:tc>
        <w:tc>
          <w:tcPr/>
          <w:p>
            <w:pPr>
              <w:pStyle w:val="Compact"/>
              <w:jc w:val="left"/>
            </w:pPr>
            <w:r>
              <w:t xml:space="preserve">48.0</w:t>
            </w:r>
          </w:p>
        </w:tc>
        <w:tc>
          <w:tcPr/>
          <w:p>
            <w:pPr>
              <w:pStyle w:val="Compact"/>
              <w:jc w:val="left"/>
            </w:pPr>
            <w:r>
              <w:t xml:space="preserve">$210.00</w:t>
            </w:r>
          </w:p>
        </w:tc>
        <w:tc>
          <w:tcPr/>
          <w:p>
            <w:pPr>
              <w:pStyle w:val="Compact"/>
              <w:jc w:val="left"/>
            </w:pPr>
            <w:r>
              <w:t xml:space="preserve">$10,080.00</w:t>
            </w:r>
          </w:p>
        </w:tc>
      </w:tr>
      <w:tr>
        <w:tc>
          <w:tcPr/>
          <w:p>
            <w:pPr>
              <w:pStyle w:val="Compact"/>
              <w:jc w:val="left"/>
            </w:pPr>
            <w:r>
              <w:t xml:space="preserve">03</w:t>
            </w:r>
          </w:p>
        </w:tc>
        <w:tc>
          <w:tcPr/>
          <w:p>
            <w:pPr>
              <w:pStyle w:val="Compact"/>
              <w:jc w:val="left"/>
            </w:pPr>
            <w:r>
              <w:t xml:space="preserve">Environmental compliance chemical audit of client's manufacturing facility in the San Fernando Valley, Los Angeles. Includes air quality sampling, wastewater chemical analysis, and soil contamination assessment per California DTSC regulations.</w:t>
            </w:r>
          </w:p>
        </w:tc>
        <w:tc>
          <w:tcPr/>
          <w:p>
            <w:pPr>
              <w:pStyle w:val="Compact"/>
              <w:jc w:val="left"/>
            </w:pPr>
            <w:r>
              <w:t xml:space="preserve">32.0</w:t>
            </w:r>
          </w:p>
        </w:tc>
        <w:tc>
          <w:tcPr/>
          <w:p>
            <w:pPr>
              <w:pStyle w:val="Compact"/>
              <w:jc w:val="left"/>
            </w:pPr>
            <w:r>
              <w:t xml:space="preserve">$195.00</w:t>
            </w:r>
          </w:p>
        </w:tc>
        <w:tc>
          <w:tcPr/>
          <w:p>
            <w:pPr>
              <w:pStyle w:val="Compact"/>
              <w:jc w:val="left"/>
            </w:pPr>
            <w:r>
              <w:t xml:space="preserve">$6,240.00</w:t>
            </w:r>
          </w:p>
        </w:tc>
      </w:tr>
      <w:tr>
        <w:tc>
          <w:tcPr/>
          <w:p>
            <w:pPr>
              <w:pStyle w:val="Compact"/>
              <w:jc w:val="left"/>
            </w:pPr>
            <w:r>
              <w:t xml:space="preserve">04</w:t>
            </w:r>
          </w:p>
        </w:tc>
        <w:tc>
          <w:tcPr/>
          <w:p>
            <w:pPr>
              <w:pStyle w:val="Compact"/>
              <w:jc w:val="left"/>
            </w:pPr>
            <w:r>
              <w:t xml:space="preserve">Preparation and submission of Technical Product Documentation (TPD) and Certificate of Analysis (CoA) for FDA review. Chemist-authored regulatory documentation for United States market approval.</w:t>
            </w:r>
          </w:p>
        </w:tc>
        <w:tc>
          <w:tcPr/>
          <w:p>
            <w:pPr>
              <w:pStyle w:val="Compact"/>
              <w:jc w:val="left"/>
            </w:pPr>
            <w:r>
              <w:t xml:space="preserve">16.0</w:t>
            </w:r>
          </w:p>
        </w:tc>
        <w:tc>
          <w:tcPr/>
          <w:p>
            <w:pPr>
              <w:pStyle w:val="Compact"/>
              <w:jc w:val="left"/>
            </w:pPr>
            <w:r>
              <w:t xml:space="preserve">$225.00</w:t>
            </w:r>
          </w:p>
        </w:tc>
        <w:tc>
          <w:tcPr/>
          <w:p>
            <w:pPr>
              <w:pStyle w:val="Compact"/>
              <w:jc w:val="left"/>
            </w:pPr>
            <w:r>
              <w:t xml:space="preserve">$3,600.00</w:t>
            </w:r>
          </w:p>
        </w:tc>
      </w:tr>
      <w:tr>
        <w:tc>
          <w:tcPr/>
          <w:p>
            <w:pPr>
              <w:pStyle w:val="Compact"/>
              <w:jc w:val="left"/>
            </w:pPr>
            <w:r>
              <w:t xml:space="preserve">05</w:t>
            </w:r>
          </w:p>
        </w:tc>
        <w:tc>
          <w:tcPr/>
          <w:p>
            <w:pPr>
              <w:pStyle w:val="Compact"/>
              <w:jc w:val="left"/>
            </w:pPr>
            <w:r>
              <w:t xml:space="preserve">On-site chemist consultation and training session for client's quality assurance personnel at the Pacific Coast Pharmaceutical Group facility. Covered proper chemical handling, waste disposal protocols, and laboratory safety standards specific to Los Angeles municipal codes.</w:t>
            </w:r>
          </w:p>
        </w:tc>
        <w:tc>
          <w:tcPr/>
          <w:p>
            <w:pPr>
              <w:pStyle w:val="Compact"/>
              <w:jc w:val="left"/>
            </w:pPr>
            <w:r>
              <w:t xml:space="preserve">8.0</w:t>
            </w:r>
          </w:p>
        </w:tc>
        <w:tc>
          <w:tcPr/>
          <w:p>
            <w:pPr>
              <w:pStyle w:val="Compact"/>
              <w:jc w:val="left"/>
            </w:pPr>
            <w:r>
              <w:t xml:space="preserve">$250.00</w:t>
            </w:r>
          </w:p>
        </w:tc>
        <w:tc>
          <w:tcPr/>
          <w:p>
            <w:pPr>
              <w:pStyle w:val="Compact"/>
              <w:jc w:val="left"/>
            </w:pPr>
            <w:r>
              <w:t xml:space="preserve">$2,000.00</w:t>
            </w:r>
          </w:p>
        </w:tc>
      </w:tr>
      <w:tr>
        <w:tc>
          <w:tcPr/>
          <w:p>
            <w:pPr>
              <w:pStyle w:val="Compact"/>
              <w:jc w:val="left"/>
            </w:pPr>
            <w:r>
              <w:t xml:space="preserve">06</w:t>
            </w:r>
          </w:p>
        </w:tc>
        <w:tc>
          <w:tcPr/>
          <w:p>
            <w:pPr>
              <w:pStyle w:val="Compact"/>
              <w:jc w:val="left"/>
            </w:pPr>
            <w:r>
              <w:t xml:space="preserve">Consumable laboratory reagents, calibration standards, and specialized chemical compounds procured for the above analyses. Sourced from United States-based suppliers with full chain-of-custody documentation.</w:t>
            </w:r>
          </w:p>
        </w:tc>
        <w:tc>
          <w:tcPr/>
          <w:p>
            <w:pPr>
              <w:pStyle w:val="Compact"/>
              <w:jc w:val="left"/>
            </w:pPr>
            <w:r>
              <w:t xml:space="preserve">N/A</w:t>
            </w:r>
          </w:p>
        </w:tc>
        <w:tc>
          <w:tcPr/>
          <w:p>
            <w:pPr>
              <w:pStyle w:val="Compact"/>
              <w:jc w:val="left"/>
            </w:pPr>
            <w:r>
              <w:t xml:space="preserve">Flat Fee</w:t>
            </w:r>
          </w:p>
        </w:tc>
        <w:tc>
          <w:tcPr/>
          <w:p>
            <w:pPr>
              <w:pStyle w:val="Compact"/>
              <w:jc w:val="left"/>
            </w:pPr>
            <w:r>
              <w:t xml:space="preserve">$1,875.50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right"/>
            </w:pPr>
            <w:r>
              <w:t xml:space="preserve">$28,235.50</w:t>
            </w:r>
          </w:p>
        </w:tc>
      </w:tr>
      <w:tr>
        <w:tc>
          <w:tcPr/>
          <w:p>
            <w:pPr>
              <w:pStyle w:val="Compact"/>
              <w:jc w:val="left"/>
            </w:pPr>
            <w:r>
              <w:t xml:space="preserve">California State Sales Tax (8.75%)</w:t>
            </w:r>
          </w:p>
        </w:tc>
        <w:tc>
          <w:tcPr/>
          <w:p>
            <w:pPr>
              <w:pStyle w:val="Compact"/>
              <w:jc w:val="right"/>
            </w:pPr>
            <w:r>
              <w:t xml:space="preserve">$2,470.61</w:t>
            </w:r>
          </w:p>
        </w:tc>
      </w:tr>
      <w:tr>
        <w:tc>
          <w:tcPr/>
          <w:p>
            <w:pPr>
              <w:pStyle w:val="Compact"/>
              <w:jc w:val="left"/>
            </w:pPr>
            <w:r>
              <w:t xml:space="preserve">Los Angeles County Business Tax (0.5%)</w:t>
            </w:r>
          </w:p>
        </w:tc>
        <w:tc>
          <w:tcPr/>
          <w:p>
            <w:pPr>
              <w:pStyle w:val="Compact"/>
              <w:jc w:val="right"/>
            </w:pPr>
            <w:r>
              <w:t xml:space="preserve">$141.18</w:t>
            </w:r>
          </w:p>
        </w:tc>
      </w:tr>
      <w:tr>
        <w:tc>
          <w:tcPr/>
          <w:p>
            <w:pPr>
              <w:pStyle w:val="Compact"/>
              <w:jc w:val="left"/>
            </w:pPr>
            <w:r>
              <w:t xml:space="preserve">Expedited Processing Surcharge</w:t>
            </w:r>
          </w:p>
        </w:tc>
        <w:tc>
          <w:tcPr/>
          <w:p>
            <w:pPr>
              <w:pStyle w:val="Compact"/>
              <w:jc w:val="right"/>
            </w:pPr>
            <w:r>
              <w:t xml:space="preserve">$350.00</w:t>
            </w:r>
          </w:p>
        </w:tc>
      </w:tr>
      <w:tr>
        <w:tc>
          <w:tcPr/>
          <w:p>
            <w:pPr>
              <w:pStyle w:val="Compact"/>
              <w:jc w:val="left"/>
            </w:pPr>
            <w:r>
              <w:t xml:space="preserve">GRAND TOTAL DUE</w:t>
            </w:r>
          </w:p>
        </w:tc>
        <w:tc>
          <w:tcPr/>
          <w:p>
            <w:pPr>
              <w:pStyle w:val="Compact"/>
              <w:jc w:val="right"/>
            </w:pPr>
            <w:r>
              <w:t xml:space="preserve">$31,197.29</w:t>
            </w:r>
          </w:p>
        </w:tc>
      </w:tr>
    </w:tbl>
    <w:bookmarkStart w:id="25" w:name="payment-terms-conditions"/>
    <w:p>
      <w:pPr>
        <w:pStyle w:val="Heading4"/>
      </w:pPr>
      <w:r>
        <w:t xml:space="preserve">Payment Terms &amp; Conditions</w:t>
      </w:r>
    </w:p>
    <w:p>
      <w:pPr>
        <w:pStyle w:val="FirstParagraph"/>
      </w:pPr>
      <w:r>
        <w:rPr>
          <w:bCs/>
          <w:b/>
        </w:rPr>
        <w:t xml:space="preserve">Payment Due:</w:t>
      </w:r>
      <w:r>
        <w:t xml:space="preserve"> </w:t>
      </w:r>
      <w:r>
        <w:t xml:space="preserve">Net 30 days from the date of this invoice (July 15, 2025). Payment is expected via wire transfer, ACH, or certified check payable to Vasquez Analytical Chemistry Laboratory, LLC, Los Angeles, California, United States.</w:t>
      </w:r>
    </w:p>
    <w:p>
      <w:pPr>
        <w:pStyle w:val="BodyText"/>
      </w:pPr>
      <w:r>
        <w:rPr>
          <w:bCs/>
          <w:b/>
        </w:rPr>
        <w:t xml:space="preserve">Bank Details:</w:t>
      </w:r>
      <w:r>
        <w:t xml:space="preserve"> </w:t>
      </w:r>
      <w:r>
        <w:t xml:space="preserve">First Republic Bank, Los Angeles Branch | Routing: 121000248 | Account: 4487-2291-003 | SWIFT: FRBKUS33</w:t>
      </w:r>
    </w:p>
    <w:p>
      <w:pPr>
        <w:pStyle w:val="BodyText"/>
      </w:pPr>
      <w:r>
        <w:rPr>
          <w:bCs/>
          <w:b/>
        </w:rPr>
        <w:t xml:space="preserve">Late Payment:</w:t>
      </w:r>
      <w:r>
        <w:t xml:space="preserve"> </w:t>
      </w:r>
      <w:r>
        <w:t xml:space="preserve">A late fee of 1.5% per month will be applied to any balance remaining unpaid after the due date, in accordance with California Commercial Code Section 2310 and applicable United States federal interest rate provisions.</w:t>
      </w:r>
    </w:p>
    <w:p>
      <w:pPr>
        <w:pStyle w:val="BodyText"/>
      </w:pPr>
      <w:r>
        <w:rPr>
          <w:bCs/>
          <w:b/>
        </w:rPr>
        <w:t xml:space="preserve">Disputes:</w:t>
      </w:r>
      <w:r>
        <w:t xml:space="preserve"> </w:t>
      </w:r>
      <w:r>
        <w:t xml:space="preserve">Any disputes regarding this invoice must be submitted in writing to the undersigned chemist within fifteen (15) business days of the issue date. All disputes will be resolved under the jurisdiction of the Superior Court of California, County of Los Angeles, United States.</w:t>
      </w:r>
    </w:p>
    <w:p>
      <w:pPr>
        <w:pStyle w:val="BodyText"/>
      </w:pPr>
      <w:r>
        <w:rPr>
          <w:bCs/>
          <w:b/>
        </w:rPr>
        <w:t xml:space="preserve">Confidentiality:</w:t>
      </w:r>
      <w:r>
        <w:t xml:space="preserve"> </w:t>
      </w:r>
      <w:r>
        <w:t xml:space="preserve">All chemical data, analytical results, and proprietary formulations referenced in this invoice are subject to the mutual Non-Disclosure Agreement (NDA) executed on March 3, 2025, between both parties.</w:t>
      </w:r>
    </w:p>
    <w:bookmarkEnd w:id="25"/>
    <w:p>
      <w:pPr>
        <w:pStyle w:val="BodyText"/>
      </w:pPr>
      <w:r>
        <w:t xml:space="preserve">Certification &amp; Authorization</w:t>
      </w:r>
    </w:p>
    <w:p>
      <w:pPr>
        <w:pStyle w:val="BodyText"/>
      </w:pPr>
      <w:r>
        <w:t xml:space="preserve">I, Dr. Eleanor M. Vasquez, hereby certify that all chemist services described in this invoice were personally supervised and performed in accordance with the professional standards of the American Chemical Society (ACS), the California Board of Pharmacy, and all applicable federal and state regulations governing chemical laboratory operations in the United States. The analytical data and conclusions provided to the client are accurate, reproducible, and conducted with full scientific integrity.</w:t>
      </w:r>
    </w:p>
    <w:p>
      <w:pPr>
        <w:pStyle w:val="BodyText"/>
      </w:pPr>
      <w:r>
        <w:rPr>
          <w:bCs/>
          <w:b/>
        </w:rPr>
        <w:t xml:space="preserve">Authorized Signature:</w:t>
      </w:r>
      <w:r>
        <w:t xml:space="preserve"> </w:t>
      </w:r>
      <w:r>
        <w:t xml:space="preserve">_______________________________</w:t>
      </w:r>
      <w:r>
        <w:br/>
      </w:r>
      <w:r>
        <w:t xml:space="preserve">Dr. Eleanor M. Vasquez, Ph.D., R.Ph.</w:t>
      </w:r>
      <w:r>
        <w:br/>
      </w:r>
      <w:r>
        <w:t xml:space="preserve">Lead Chemist, Vasquez Analytical Chemistry Laboratory</w:t>
      </w:r>
      <w:r>
        <w:br/>
      </w:r>
      <w:r>
        <w:t xml:space="preserve">Los Angeles, California, United States</w:t>
      </w:r>
      <w:r>
        <w:br/>
      </w:r>
      <w:r>
        <w:t xml:space="preserve">Date: June 15, 2025</w:t>
      </w:r>
    </w:p>
    <w:p>
      <w:pPr>
        <w:pStyle w:val="BodyText"/>
      </w:pPr>
      <w:r>
        <w:t xml:space="preserve">Vasquez Analytical Chemistry Laboratory, LLC — 2847 West Olympic Boulevard, Suite 412, Los Angeles, CA 90018, United States</w:t>
      </w:r>
    </w:p>
    <w:p>
      <w:pPr>
        <w:pStyle w:val="BodyText"/>
      </w:pPr>
      <w:r>
        <w:t xml:space="preserve">CA Chemist License: C-2019-44871 | CA Business License: 20190487123 | Federal EIN: 84-5567231</w:t>
      </w:r>
    </w:p>
    <w:p>
      <w:pPr>
        <w:pStyle w:val="BodyText"/>
      </w:pPr>
      <w:r>
        <w:t xml:space="preserve">This invoice was generated electronically and is valid without a physical signature. For questions regarding this invoice, please contact our billing department at billing@vasquezchemlab.com or (213) 555-0192, Monday through Friday, 8:00 AM to 5:00 PM Pacific Time.</w:t>
      </w:r>
    </w:p>
    <w:p>
      <w:pPr>
        <w:pStyle w:val="BodyText"/>
      </w:pPr>
      <w:r>
        <w:t xml:space="preserve">© 2025 Vasquez Analytical Chemistry Laboratory, LLC. All rights reserved. Invoice INV-LA-2025-04872.</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Chemist Services - Los Angeles, United States</dc:title>
  <dc:creator/>
  <dc:language>en</dc:language>
  <cp:keywords/>
  <dcterms:created xsi:type="dcterms:W3CDTF">2026-10-10T02:00:26Z</dcterms:created>
  <dcterms:modified xsi:type="dcterms:W3CDTF">2026-10-10T02:00:26Z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