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Miami</w:t>
      </w:r>
      <w:r>
        <w:t xml:space="preserve"> </w:t>
      </w:r>
      <w:r>
        <w:t xml:space="preserve">Chemist</w:t>
      </w:r>
      <w:r>
        <w:t xml:space="preserve"> </w:t>
      </w:r>
      <w:r>
        <w:t xml:space="preserve">Services</w:t>
      </w:r>
    </w:p>
    <w:bookmarkStart w:id="20" w:name="miami-chemist-pharmaceutical-services"/>
    <w:p>
      <w:pPr>
        <w:pStyle w:val="Heading1"/>
      </w:pPr>
      <w:r>
        <w:t xml:space="preserve">Miami Chemist &amp; Pharmaceutical Services</w:t>
      </w:r>
    </w:p>
    <w:p>
      <w:pPr>
        <w:pStyle w:val="FirstParagraph"/>
      </w:pPr>
      <w:r>
        <w:t xml:space="preserve">1247 Brickell Avenue, Suite 340</w:t>
      </w:r>
    </w:p>
    <w:p>
      <w:pPr>
        <w:pStyle w:val="BodyText"/>
      </w:pPr>
      <w:r>
        <w:t xml:space="preserve">Miami, Florida 33131, United States</w:t>
      </w:r>
    </w:p>
    <w:p>
      <w:pPr>
        <w:pStyle w:val="BodyText"/>
      </w:pPr>
      <w:r>
        <w:t xml:space="preserve">Phone: (305) 555-0187 | Email: billing@miamichemist.com</w:t>
      </w:r>
    </w:p>
    <w:p>
      <w:pPr>
        <w:pStyle w:val="BodyText"/>
      </w:pPr>
      <w:r>
        <w:t xml:space="preserve">Florida Board of Pharmacy License No. PH-2024-08841</w:t>
      </w:r>
    </w:p>
    <w:p>
      <w:pPr>
        <w:pStyle w:val="BodyText"/>
      </w:pPr>
      <w:r>
        <w:t xml:space="preserve">IRS EIN: 82-4471903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MC-2025-04782</w:t>
      </w:r>
    </w:p>
    <w:p>
      <w:pPr>
        <w:pStyle w:val="BodyText"/>
      </w:pPr>
      <w:r>
        <w:rPr>
          <w:bCs/>
          <w:b/>
        </w:rPr>
        <w:t xml:space="preserve">Invoice Date:</w:t>
      </w:r>
      <w:r>
        <w:t xml:space="preserve"> </w:t>
      </w:r>
      <w:r>
        <w:t xml:space="preserve">June 14, 2025</w:t>
      </w:r>
    </w:p>
    <w:p>
      <w:pPr>
        <w:pStyle w:val="BodyText"/>
      </w:pPr>
      <w:r>
        <w:rPr>
          <w:bCs/>
          <w:b/>
        </w:rPr>
        <w:t xml:space="preserve">Due Date:</w:t>
      </w:r>
      <w:r>
        <w:t xml:space="preserve"> </w:t>
      </w:r>
      <w:r>
        <w:t xml:space="preserve">July 14, 2025</w:t>
      </w:r>
    </w:p>
    <w:p>
      <w:pPr>
        <w:pStyle w:val="BodyText"/>
      </w:pPr>
      <w:r>
        <w:rPr>
          <w:bCs/>
          <w:b/>
        </w:rPr>
        <w:t xml:space="preserve">Payment Terms:</w:t>
      </w:r>
      <w:r>
        <w:t xml:space="preserve"> </w:t>
      </w:r>
      <w:r>
        <w:t xml:space="preserve">Net 30 Days</w:t>
      </w:r>
    </w:p>
    <w:p>
      <w:pPr>
        <w:pStyle w:val="BodyText"/>
      </w:pPr>
      <w:r>
        <w:t xml:space="preserve">UNPAID</w:t>
      </w:r>
    </w:p>
    <w:bookmarkEnd w:id="21"/>
    <w:bookmarkStart w:id="22" w:name="billed-to"/>
    <w:p>
      <w:pPr>
        <w:pStyle w:val="Heading3"/>
      </w:pPr>
      <w:r>
        <w:t xml:space="preserve">Billed To</w:t>
      </w:r>
    </w:p>
    <w:p>
      <w:pPr>
        <w:pStyle w:val="FirstParagraph"/>
      </w:pPr>
      <w:r>
        <w:rPr>
          <w:bCs/>
          <w:b/>
        </w:rPr>
        <w:t xml:space="preserve">Dr. Elena Vasquez, M.D.</w:t>
      </w:r>
    </w:p>
    <w:p>
      <w:pPr>
        <w:pStyle w:val="BodyText"/>
      </w:pPr>
      <w:r>
        <w:t xml:space="preserve">Vasquez Internal Medicine Group</w:t>
      </w:r>
    </w:p>
    <w:p>
      <w:pPr>
        <w:pStyle w:val="BodyText"/>
      </w:pPr>
      <w:r>
        <w:t xml:space="preserve">2890 Coral Way, Building C</w:t>
      </w:r>
    </w:p>
    <w:p>
      <w:pPr>
        <w:pStyle w:val="BodyText"/>
      </w:pPr>
      <w:r>
        <w:t xml:space="preserve">Miami, Florida 33145, United States</w:t>
      </w:r>
    </w:p>
    <w:p>
      <w:pPr>
        <w:pStyle w:val="BodyText"/>
      </w:pPr>
      <w:r>
        <w:t xml:space="preserve">Tax ID: 59-2284716</w:t>
      </w:r>
    </w:p>
    <w:bookmarkEnd w:id="22"/>
    <w:bookmarkStart w:id="23" w:name="shipped-to"/>
    <w:p>
      <w:pPr>
        <w:pStyle w:val="Heading3"/>
      </w:pPr>
      <w:r>
        <w:t xml:space="preserve">Shipped To</w:t>
      </w:r>
    </w:p>
    <w:p>
      <w:pPr>
        <w:pStyle w:val="FirstParagraph"/>
      </w:pPr>
      <w:r>
        <w:t xml:space="preserve">Vasquez Internal Medicine Group</w:t>
      </w:r>
    </w:p>
    <w:p>
      <w:pPr>
        <w:pStyle w:val="BodyText"/>
      </w:pPr>
      <w:r>
        <w:t xml:space="preserve">2890 Coral Way, Building C</w:t>
      </w:r>
    </w:p>
    <w:p>
      <w:pPr>
        <w:pStyle w:val="BodyText"/>
      </w:pPr>
      <w:r>
        <w:t xml:space="preserve">Miami, Florida 33145, United States</w:t>
      </w:r>
    </w:p>
    <w:p>
      <w:pPr>
        <w:pStyle w:val="BodyText"/>
      </w:pPr>
      <w:r>
        <w:t xml:space="preserve">Attn: Lab &amp; Supply Coordinator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Chemist Service / Product</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pharmaceutical compounding of custom oral suspensions for pediatric patients, including quality assurance testing and stability analysis performed by our licensed chemist team in Miami.</w:t>
            </w:r>
          </w:p>
        </w:tc>
        <w:tc>
          <w:tcPr/>
          <w:p>
            <w:pPr>
              <w:pStyle w:val="Compact"/>
              <w:jc w:val="left"/>
            </w:pPr>
            <w:r>
              <w:t xml:space="preserve">Chemist Compounding</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2</w:t>
            </w:r>
          </w:p>
        </w:tc>
        <w:tc>
          <w:tcPr/>
          <w:p>
            <w:pPr>
              <w:pStyle w:val="Compact"/>
              <w:jc w:val="left"/>
            </w:pPr>
            <w:r>
              <w:t xml:space="preserve">Pharmacokinetic drug interaction analysis and chemical compatibility review for a multi-drug regimen prescribed at the Miami clinic. Includes written report by senior chemist.</w:t>
            </w:r>
          </w:p>
        </w:tc>
        <w:tc>
          <w:tcPr/>
          <w:p>
            <w:pPr>
              <w:pStyle w:val="Compact"/>
              <w:jc w:val="left"/>
            </w:pPr>
            <w:r>
              <w:t xml:space="preserve">Chemist Analysis</w:t>
            </w:r>
          </w:p>
        </w:tc>
        <w:tc>
          <w:tcPr/>
          <w:p>
            <w:pPr>
              <w:pStyle w:val="Compact"/>
              <w:jc w:val="left"/>
            </w:pPr>
            <w:r>
              <w:t xml:space="preserve">3</w:t>
            </w:r>
          </w:p>
        </w:tc>
        <w:tc>
          <w:tcPr/>
          <w:p>
            <w:pPr>
              <w:pStyle w:val="Compact"/>
              <w:jc w:val="left"/>
            </w:pPr>
            <w:r>
              <w:t xml:space="preserve">$220.00</w:t>
            </w:r>
          </w:p>
        </w:tc>
        <w:tc>
          <w:tcPr/>
          <w:p>
            <w:pPr>
              <w:pStyle w:val="Compact"/>
              <w:jc w:val="left"/>
            </w:pPr>
            <w:r>
              <w:t xml:space="preserve">$660.00</w:t>
            </w:r>
          </w:p>
        </w:tc>
      </w:tr>
      <w:tr>
        <w:tc>
          <w:tcPr/>
          <w:p>
            <w:pPr>
              <w:pStyle w:val="Compact"/>
              <w:jc w:val="left"/>
            </w:pPr>
            <w:r>
              <w:t xml:space="preserve">3</w:t>
            </w:r>
          </w:p>
        </w:tc>
        <w:tc>
          <w:tcPr/>
          <w:p>
            <w:pPr>
              <w:pStyle w:val="Compact"/>
              <w:jc w:val="left"/>
            </w:pPr>
            <w:r>
              <w:t xml:space="preserve">Supply of certified reagents and chemical reference standards (Grade A) for in-house laboratory testing, shipped from our Miami, United States warehouse with cold-chain logistics.</w:t>
            </w:r>
          </w:p>
        </w:tc>
        <w:tc>
          <w:tcPr/>
          <w:p>
            <w:pPr>
              <w:pStyle w:val="Compact"/>
              <w:jc w:val="left"/>
            </w:pPr>
            <w:r>
              <w:t xml:space="preserve">Chemical Reagents</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4</w:t>
            </w:r>
          </w:p>
        </w:tc>
        <w:tc>
          <w:tcPr/>
          <w:p>
            <w:pPr>
              <w:pStyle w:val="Compact"/>
              <w:jc w:val="left"/>
            </w:pPr>
            <w:r>
              <w:t xml:space="preserve">On-site consultation by a board-certified chemist regarding sterile compounding protocol upgrades, regulatory compliance with Florida Board of Pharmacy, and FDA guidelines applicable in the United States.</w:t>
            </w:r>
          </w:p>
        </w:tc>
        <w:tc>
          <w:tcPr/>
          <w:p>
            <w:pPr>
              <w:pStyle w:val="Compact"/>
              <w:jc w:val="left"/>
            </w:pPr>
            <w:r>
              <w:t xml:space="preserve">Chemist Consultation</w:t>
            </w:r>
          </w:p>
        </w:tc>
        <w:tc>
          <w:tcPr/>
          <w:p>
            <w:pPr>
              <w:pStyle w:val="Compact"/>
              <w:jc w:val="left"/>
            </w:pPr>
            <w:r>
              <w:t xml:space="preserve">4</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Monthly subscription to our Miami Chemist digital formulary database, including updated chemical monographs, dosage calculations, and drug monograph alerts for practitioners in the United States.</w:t>
            </w:r>
          </w:p>
        </w:tc>
        <w:tc>
          <w:tcPr/>
          <w:p>
            <w:pPr>
              <w:pStyle w:val="Compact"/>
              <w:jc w:val="left"/>
            </w:pPr>
            <w:r>
              <w:t xml:space="preserve">Chemist Database Access</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6</w:t>
            </w:r>
          </w:p>
        </w:tc>
        <w:tc>
          <w:tcPr/>
          <w:p>
            <w:pPr>
              <w:pStyle w:val="Compact"/>
              <w:jc w:val="left"/>
            </w:pPr>
            <w:r>
              <w:t xml:space="preserve">Custom preparation of topical chemical emulsions (hydrocortisone 2.5% in a proprietary base) compounded by our Miami chemist staff, packaged and labeled per Florida state regulations.</w:t>
            </w:r>
          </w:p>
        </w:tc>
        <w:tc>
          <w:tcPr/>
          <w:p>
            <w:pPr>
              <w:pStyle w:val="Compact"/>
              <w:jc w:val="left"/>
            </w:pPr>
            <w:r>
              <w:t xml:space="preserve">Chemist Compounding</w:t>
            </w:r>
          </w:p>
        </w:tc>
        <w:tc>
          <w:tcPr/>
          <w:p>
            <w:pPr>
              <w:pStyle w:val="Compact"/>
              <w:jc w:val="left"/>
            </w:pPr>
            <w:r>
              <w:t xml:space="preserve">25</w:t>
            </w:r>
          </w:p>
        </w:tc>
        <w:tc>
          <w:tcPr/>
          <w:p>
            <w:pPr>
              <w:pStyle w:val="Compact"/>
              <w:jc w:val="left"/>
            </w:pPr>
            <w:r>
              <w:t xml:space="preserve">$32.00</w:t>
            </w:r>
          </w:p>
        </w:tc>
        <w:tc>
          <w:tcPr/>
          <w:p>
            <w:pPr>
              <w:pStyle w:val="Compact"/>
              <w:jc w:val="left"/>
            </w:pPr>
            <w:r>
              <w:t xml:space="preserve">$800.00</w:t>
            </w:r>
          </w:p>
        </w:tc>
      </w:tr>
      <w:tr>
        <w:tc>
          <w:tcPr/>
          <w:p>
            <w:pPr>
              <w:pStyle w:val="Compact"/>
              <w:jc w:val="left"/>
            </w:pPr>
            <w:r>
              <w:t xml:space="preserve">7</w:t>
            </w:r>
          </w:p>
        </w:tc>
        <w:tc>
          <w:tcPr/>
          <w:p>
            <w:pPr>
              <w:pStyle w:val="Compact"/>
              <w:jc w:val="left"/>
            </w:pPr>
            <w:r>
              <w:t xml:space="preserve">Express delivery and handling of temperature-sensitive chemical compounds within the Miami metropolitan area, United States, with chain-of-custody documentation.</w:t>
            </w:r>
          </w:p>
        </w:tc>
        <w:tc>
          <w:tcPr/>
          <w:p>
            <w:pPr>
              <w:pStyle w:val="Compact"/>
              <w:jc w:val="left"/>
            </w:pPr>
            <w:r>
              <w:t xml:space="preserve">Logistics &amp; Handling</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$4,700.00</w:t>
            </w:r>
          </w:p>
        </w:tc>
      </w:tr>
      <w:tr>
        <w:tc>
          <w:tcPr/>
          <w:p>
            <w:pPr>
              <w:pStyle w:val="Compact"/>
              <w:jc w:val="left"/>
            </w:pPr>
            <w:r>
              <w:t xml:space="preserve">Florida Sales Tax (7.0%)</w:t>
            </w:r>
          </w:p>
        </w:tc>
        <w:tc>
          <w:tcPr/>
          <w:p>
            <w:pPr>
              <w:pStyle w:val="Compact"/>
              <w:jc w:val="left"/>
            </w:pPr>
            <w:r>
              <w:t xml:space="preserve">$329.00</w:t>
            </w:r>
          </w:p>
        </w:tc>
      </w:tr>
      <w:tr>
        <w:tc>
          <w:tcPr/>
          <w:p>
            <w:pPr>
              <w:pStyle w:val="Compact"/>
              <w:jc w:val="left"/>
            </w:pPr>
            <w:r>
              <w:t xml:space="preserve">Discount (Loyal Client – 5%)</w:t>
            </w:r>
          </w:p>
        </w:tc>
        <w:tc>
          <w:tcPr/>
          <w:p>
            <w:pPr>
              <w:pStyle w:val="Compact"/>
              <w:jc w:val="left"/>
            </w:pPr>
            <w:r>
              <w:t xml:space="preserve">-$235.00</w:t>
            </w:r>
          </w:p>
        </w:tc>
      </w:tr>
      <w:tr>
        <w:tc>
          <w:tcPr/>
          <w:p>
            <w:pPr>
              <w:pStyle w:val="Compact"/>
              <w:jc w:val="left"/>
            </w:pPr>
            <w:r>
              <w:t xml:space="preserve">Total Due (USD)</w:t>
            </w:r>
          </w:p>
        </w:tc>
        <w:tc>
          <w:tcPr/>
          <w:p>
            <w:pPr>
              <w:pStyle w:val="Compact"/>
              <w:jc w:val="left"/>
            </w:pPr>
            <w:r>
              <w:t xml:space="preserve">$4,794.00</w:t>
            </w:r>
          </w:p>
        </w:tc>
      </w:tr>
    </w:tbl>
    <w:bookmarkStart w:id="24" w:name="payment-instructions-notes"/>
    <w:p>
      <w:pPr>
        <w:pStyle w:val="Heading3"/>
      </w:pPr>
      <w:r>
        <w:t xml:space="preserve">Payment Instructions &amp; Notes</w:t>
      </w:r>
    </w:p>
    <w:p>
      <w:pPr>
        <w:pStyle w:val="FirstParagraph"/>
      </w:pPr>
      <w:r>
        <w:rPr>
          <w:bCs/>
          <w:b/>
        </w:rPr>
        <w:t xml:space="preserve">Payment Method:</w:t>
      </w:r>
      <w:r>
        <w:t xml:space="preserve"> </w:t>
      </w:r>
      <w:r>
        <w:t xml:space="preserve">Wire transfer to Miami Chemist &amp; Pharmaceutical Services, Bank of America, Account No. 4471-8829-003, Routing No. 026009593. Please reference Invoice No. MC-2025-04782 in the transfer memo.</w:t>
      </w:r>
    </w:p>
    <w:p>
      <w:pPr>
        <w:pStyle w:val="BodyText"/>
      </w:pPr>
      <w:r>
        <w:rPr>
          <w:bCs/>
          <w:b/>
        </w:rPr>
        <w:t xml:space="preserve">Alternative Payment:</w:t>
      </w:r>
      <w:r>
        <w:t xml:space="preserve"> </w:t>
      </w:r>
      <w:r>
        <w:t xml:space="preserve">Checks payable to "Miami Chemist &amp; Pharmaceutical Services" may be mailed to our Miami, Florida address listed above. Electronic payments via ACH or approved credit cards (Visa, Mastercard, Amex) are also accepted with a 2.5% processing surcharge.</w:t>
      </w:r>
    </w:p>
    <w:p>
      <w:pPr>
        <w:pStyle w:val="BodyText"/>
      </w:pPr>
      <w:r>
        <w:rPr>
          <w:bCs/>
          <w:b/>
        </w:rPr>
        <w:t xml:space="preserve">Terms:</w:t>
      </w:r>
      <w:r>
        <w:t xml:space="preserve"> </w:t>
      </w:r>
      <w:r>
        <w:t xml:space="preserve">Payment is due within thirty (30) calendar days of the invoice date. A late payment fee of 1.5% per month will be applied to any outstanding balance after the due date of July 14, 2025, in accordance with Florida commercial transaction statutes.</w:t>
      </w:r>
    </w:p>
    <w:p>
      <w:pPr>
        <w:pStyle w:val="BodyText"/>
      </w:pPr>
      <w:r>
        <w:rPr>
          <w:bCs/>
          <w:b/>
        </w:rPr>
        <w:t xml:space="preserve">Chemist Certification:</w:t>
      </w:r>
      <w:r>
        <w:t xml:space="preserve"> </w:t>
      </w:r>
      <w:r>
        <w:t xml:space="preserve">All compounding and analytical services listed on this invoice were performed or supervised by a licensed pharmacist-chemist registered with the Florida Board of Pharmacy and in full compliance with United States FDA regulations for pharmaceutical preparation and distribution.</w:t>
      </w:r>
    </w:p>
    <w:p>
      <w:pPr>
        <w:pStyle w:val="BodyText"/>
      </w:pPr>
      <w:r>
        <w:rPr>
          <w:bCs/>
          <w:b/>
        </w:rPr>
        <w:t xml:space="preserve">Warranty:</w:t>
      </w:r>
      <w:r>
        <w:t xml:space="preserve"> </w:t>
      </w:r>
      <w:r>
        <w:t xml:space="preserve">All chemical reagents and compounded preparations are guaranteed free from defects in composition and purity for a period of ninety (90) days from the date of delivery in Miami, United States. Any discrepancies must be reported in writing to our Miami office within this period.</w:t>
      </w:r>
    </w:p>
    <w:p>
      <w:pPr>
        <w:pStyle w:val="BodyText"/>
      </w:pPr>
      <w:r>
        <w:rPr>
          <w:bCs/>
          <w:b/>
        </w:rPr>
        <w:t xml:space="preserve">Regulatory Note:</w:t>
      </w:r>
      <w:r>
        <w:t xml:space="preserve"> </w:t>
      </w:r>
      <w:r>
        <w:t xml:space="preserve">This invoice documents services rendered by a licensed chemist operating under the jurisdiction of the State of Florida, United States. All controlled substance transactions, where applicable, are recorded in accordance with 21 CFR Part 1304 and Florida Statute Chapter 893.</w:t>
      </w:r>
    </w:p>
    <w:bookmarkEnd w:id="24"/>
    <w:p>
      <w:pPr>
        <w:pStyle w:val="BodyText"/>
      </w:pPr>
      <w:r>
        <w:rPr>
          <w:bCs/>
          <w:b/>
        </w:rPr>
        <w:t xml:space="preserve">Miami Chemist &amp; Pharmaceutical Services</w:t>
      </w:r>
      <w:r>
        <w:t xml:space="preserve"> </w:t>
      </w:r>
      <w:r>
        <w:t xml:space="preserve">| 1247 Brickell Avenue, Suite 340, Miami, FL 33131, United States</w:t>
      </w:r>
    </w:p>
    <w:p>
      <w:pPr>
        <w:pStyle w:val="BodyText"/>
      </w:pPr>
      <w:r>
        <w:t xml:space="preserve">Florida Board of Pharmacy License No. PH-2024-08841 | IRS EIN: 82-4471903</w:t>
      </w:r>
    </w:p>
    <w:p>
      <w:pPr>
        <w:pStyle w:val="BodyText"/>
      </w:pPr>
      <w:r>
        <w:t xml:space="preserve">This invoice was generated electronically and is valid without a physical signature. For questions regarding this invoice, please contact our Miami billing department at (305) 555-0187 or billing@miamichemist.com.</w:t>
      </w:r>
    </w:p>
    <w:p>
      <w:pPr>
        <w:pStyle w:val="BodyText"/>
      </w:pPr>
      <w:r>
        <w:t xml:space="preserve">Thank you for choosing Miami Chemist &amp; Pharmaceutical Services. We are proud to serve the healthcare community in Miami and throughout the United States with the highest standards of chemical and pharmaceutical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Miami Chemist Services</dc:title>
  <dc:creator/>
  <dc:language>en</dc:language>
  <cp:keywords/>
  <dcterms:created xsi:type="dcterms:W3CDTF">2026-10-10T04:33:24Z</dcterms:created>
  <dcterms:modified xsi:type="dcterms:W3CDTF">2026-10-10T04:33:24Z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