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p>
      <w:pPr>
        <w:pStyle w:val="FirstParagraph"/>
      </w:pPr>
      <w:r>
        <w:t xml:space="preserve">INVOICE</w:t>
      </w:r>
    </w:p>
    <w:p>
      <w:pPr>
        <w:pStyle w:val="BodyText"/>
      </w:pPr>
      <w:r>
        <w:t xml:space="preserve">PAID</w:t>
      </w:r>
    </w:p>
    <w:p>
      <w:pPr>
        <w:pStyle w:val="BodyText"/>
      </w:pPr>
      <w:r>
        <w:rPr>
          <w:bCs/>
          <w:b/>
        </w:rPr>
        <w:t xml:space="preserve">Invoice Number:</w:t>
      </w:r>
      <w:r>
        <w:t xml:space="preserve"> </w:t>
      </w:r>
      <w:r>
        <w:t xml:space="preserve">NYC-CHEM-2025-04872</w:t>
      </w:r>
      <w:r>
        <w:br/>
      </w:r>
      <w:r>
        <w:rPr>
          <w:bCs/>
          <w:b/>
        </w:rPr>
        <w:t xml:space="preserve">Invoice Date:</w:t>
      </w:r>
      <w:r>
        <w:t xml:space="preserve"> </w:t>
      </w:r>
      <w:r>
        <w:t xml:space="preserve">June 12, 2025</w:t>
      </w:r>
      <w:r>
        <w:br/>
      </w:r>
      <w:r>
        <w:rPr>
          <w:bCs/>
          <w:b/>
        </w:rPr>
        <w:t xml:space="preserve">Due Date:</w:t>
      </w:r>
      <w:r>
        <w:t xml:space="preserve"> </w:t>
      </w:r>
      <w:r>
        <w:t xml:space="preserve">July 12, 2025</w:t>
      </w:r>
      <w:r>
        <w:br/>
      </w:r>
      <w:r>
        <w:rPr>
          <w:bCs/>
          <w:b/>
        </w:rPr>
        <w:t xml:space="preserve">Payment Terms:</w:t>
      </w:r>
      <w:r>
        <w:t xml:space="preserve"> </w:t>
      </w:r>
      <w:r>
        <w:t xml:space="preserve">Net 30</w:t>
      </w:r>
      <w:r>
        <w:br/>
      </w:r>
      <w:r>
        <w:rPr>
          <w:bCs/>
          <w:b/>
        </w:rPr>
        <w:t xml:space="preserve">Reference:</w:t>
      </w:r>
      <w:r>
        <w:t xml:space="preserve"> </w:t>
      </w:r>
      <w:r>
        <w:t xml:space="preserve">PO-2025-11934</w:t>
      </w:r>
    </w:p>
    <w:bookmarkStart w:id="20" w:name="chemist-service-provider"/>
    <w:p>
      <w:pPr>
        <w:pStyle w:val="Heading3"/>
      </w:pPr>
      <w:r>
        <w:t xml:space="preserve">Chemist / Service Provider</w:t>
      </w:r>
    </w:p>
    <w:p>
      <w:pPr>
        <w:pStyle w:val="FirstParagraph"/>
      </w:pPr>
      <w:r>
        <w:rPr>
          <w:bCs/>
          <w:b/>
        </w:rPr>
        <w:t xml:space="preserve">Dr. Eleanor M. Whitfield, Ph.D., R.Ph.</w:t>
      </w:r>
      <w:r>
        <w:br/>
      </w:r>
      <w:r>
        <w:t xml:space="preserve">Whitfield Analytical Chemistry Laboratories</w:t>
      </w:r>
      <w:r>
        <w:br/>
      </w:r>
      <w:r>
        <w:t xml:space="preserve">1420 Broadway, Suite 2100</w:t>
      </w:r>
      <w:r>
        <w:br/>
      </w:r>
      <w:r>
        <w:t xml:space="preserve">New York City, New York 10018</w:t>
      </w:r>
      <w:r>
        <w:br/>
      </w:r>
      <w:r>
        <w:t xml:space="preserve">United States</w:t>
      </w:r>
      <w:r>
        <w:br/>
      </w:r>
      <w:r>
        <w:t xml:space="preserve">Phone: (212) 555-0187</w:t>
      </w:r>
      <w:r>
        <w:br/>
      </w:r>
      <w:r>
        <w:t xml:space="preserve">Email: invoices@whitfieldchem.com</w:t>
      </w:r>
      <w:r>
        <w:br/>
      </w:r>
      <w:r>
        <w:t xml:space="preserve">NYS Board of Pharmacy License: RPH-2019-44821</w:t>
      </w:r>
      <w:r>
        <w:br/>
      </w:r>
      <w:r>
        <w:t xml:space="preserve">EIN: 84-2917365</w:t>
      </w:r>
    </w:p>
    <w:bookmarkEnd w:id="20"/>
    <w:bookmarkStart w:id="21" w:name="billed-to"/>
    <w:p>
      <w:pPr>
        <w:pStyle w:val="Heading3"/>
      </w:pPr>
      <w:r>
        <w:t xml:space="preserve">Billed To</w:t>
      </w:r>
    </w:p>
    <w:p>
      <w:pPr>
        <w:pStyle w:val="FirstParagraph"/>
      </w:pPr>
      <w:r>
        <w:rPr>
          <w:bCs/>
          <w:b/>
        </w:rPr>
        <w:t xml:space="preserve">Meridian Pharmaceutical Group, Inc.</w:t>
      </w:r>
      <w:r>
        <w:br/>
      </w:r>
      <w:r>
        <w:t xml:space="preserve">Attn: Procurement Department</w:t>
      </w:r>
      <w:r>
        <w:br/>
      </w:r>
      <w:r>
        <w:t xml:space="preserve">350 Fifth Avenue, 42nd Floor</w:t>
      </w:r>
      <w:r>
        <w:br/>
      </w:r>
      <w:r>
        <w:t xml:space="preserve">New York City, New York 10118</w:t>
      </w:r>
      <w:r>
        <w:br/>
      </w:r>
      <w:r>
        <w:t xml:space="preserve">United States</w:t>
      </w:r>
      <w:r>
        <w:br/>
      </w:r>
      <w:r>
        <w:t xml:space="preserve">Phone: (212) 555-7743</w:t>
      </w:r>
      <w:r>
        <w:br/>
      </w:r>
      <w:r>
        <w:t xml:space="preserve">Email: procurement@meridianpharma.com</w:t>
      </w:r>
    </w:p>
    <w:bookmarkEnd w:id="21"/>
    <w:bookmarkStart w:id="23" w:name="X1278f70a148240602e825b9f985130264db7503"/>
    <w:p>
      <w:pPr>
        <w:pStyle w:val="Heading2"/>
      </w:pPr>
      <w:r>
        <w:t xml:space="preserve">Invoice Details – Chemist Professional Services Rendered in New York City, United States</w:t>
      </w:r>
    </w:p>
    <w:p>
      <w:pPr>
        <w:pStyle w:val="FirstParagraph"/>
      </w:pPr>
      <w:r>
        <w:t xml:space="preserve">This invoice is issued by the undersigned chemist for professional analytical, pharmaceutical, and consulting services performed at the Whitfield Analytical Chemistry Laboratories facility located in Manhattan, New York City, United States. All services were conducted in compliance with the New York State Department of Health regulations, the United States Food and Drug Administration (FDA) guidelines, and applicable federal and municipal standards governing chemical and pharmaceutical practice in the New York City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pharmaceutical compound analysis and quality assurance testing of active pharmaceutical ingredients (APIs) for Meridian Pharmaceutical Group's new drug formulation. Performed by licensed chemist Dr. Whitfield at the New York City laboratory facility in accordance with USP and FDA 21 CFR Part 211 standards.</w:t>
            </w:r>
          </w:p>
        </w:tc>
        <w:tc>
          <w:tcPr/>
          <w:p>
            <w:pPr>
              <w:pStyle w:val="Compact"/>
              <w:jc w:val="left"/>
            </w:pPr>
            <w:r>
              <w:t xml:space="preserve">May 5 – May 16,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Stability testing and shelf-life determination for three (3) new chemical entities. Includes accelerated and long-term stability studies conducted under controlled conditions at the Whitfield laboratory in Manhattan, New York City, United States. Full chemist-certified report submitted to client.</w:t>
            </w:r>
          </w:p>
        </w:tc>
        <w:tc>
          <w:tcPr/>
          <w:p>
            <w:pPr>
              <w:pStyle w:val="Compact"/>
              <w:jc w:val="left"/>
            </w:pPr>
            <w:r>
              <w:t xml:space="preserve">May 18 – June 2, 2025</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Regulatory consulting and technical writing services for FDA New Drug Application (NDA) submission. The chemist prepared detailed analytical methodology documentation, impurity profiles, and dissolution testing data required for the United States regulatory filing. All work performed in New York City, New York.</w:t>
            </w:r>
          </w:p>
        </w:tc>
        <w:tc>
          <w:tcPr/>
          <w:p>
            <w:pPr>
              <w:pStyle w:val="Compact"/>
              <w:jc w:val="left"/>
            </w:pPr>
            <w:r>
              <w:t xml:space="preserve">May 20 – June 5, 2025</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On-site laboratory inspection and Good Manufacturing Practice (GMP) audit at Meridian's production facility in Brooklyn, New York City. The chemist evaluated equipment calibration, environmental controls, documentation practices, and personnel training protocols in compliance with New York State and United States federal regulations.</w:t>
            </w:r>
          </w:p>
        </w:tc>
        <w:tc>
          <w:tcPr/>
          <w:p>
            <w:pPr>
              <w:pStyle w:val="Compact"/>
              <w:jc w:val="left"/>
            </w:pPr>
            <w:r>
              <w:t xml:space="preserve">June 3,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Custom formulation development and scale-up advisory. The chemist provided hands-on guidance for transitioning a novel therapeutic compound from bench-scale to pilot-scale production. Includes preparation of detailed Standard Operating Procedures (SOPs) and batch records for the New York City manufacturing site.</w:t>
            </w:r>
          </w:p>
        </w:tc>
        <w:tc>
          <w:tcPr/>
          <w:p>
            <w:pPr>
              <w:pStyle w:val="Compact"/>
              <w:jc w:val="left"/>
            </w:pPr>
            <w:r>
              <w:t xml:space="preserve">June 4 – June 10,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Waste management and environmental compliance consulting. The chemist assessed the laboratory's hazardous chemical waste handling procedures and ensured full compliance with New York City Department of Health, New York State DEC, and United States EPA regulations for pharmaceutical waste disposal in the New York City area.</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$26,850.00</w:t>
            </w:r>
          </w:p>
        </w:tc>
      </w:tr>
      <w:tr>
        <w:tc>
          <w:tcPr/>
          <w:p>
            <w:pPr>
              <w:pStyle w:val="Compact"/>
              <w:jc w:val="left"/>
            </w:pPr>
            <w:r>
              <w:t xml:space="preserve">New York City Sales Tax (8.875%)</w:t>
            </w:r>
          </w:p>
        </w:tc>
        <w:tc>
          <w:tcPr/>
          <w:p>
            <w:pPr>
              <w:pStyle w:val="Compact"/>
              <w:jc w:val="right"/>
            </w:pPr>
            <w:r>
              <w:t xml:space="preserve">$2,383.06</w:t>
            </w:r>
          </w:p>
        </w:tc>
      </w:tr>
      <w:tr>
        <w:tc>
          <w:tcPr/>
          <w:p>
            <w:pPr>
              <w:pStyle w:val="Compact"/>
              <w:jc w:val="left"/>
            </w:pPr>
            <w:r>
              <w:t xml:space="preserve">New York State Sales Tax (4%)</w:t>
            </w:r>
          </w:p>
        </w:tc>
        <w:tc>
          <w:tcPr/>
          <w:p>
            <w:pPr>
              <w:pStyle w:val="Compact"/>
              <w:jc w:val="right"/>
            </w:pPr>
            <w:r>
              <w:t xml:space="preserve">$1,074.00</w:t>
            </w:r>
          </w:p>
        </w:tc>
      </w:tr>
      <w:tr>
        <w:tc>
          <w:tcPr/>
          <w:p>
            <w:pPr>
              <w:pStyle w:val="Compact"/>
              <w:jc w:val="left"/>
            </w:pPr>
            <w:r>
              <w:t xml:space="preserve">United States Federal Excise Tax (Applicable)</w:t>
            </w:r>
          </w:p>
        </w:tc>
        <w:tc>
          <w:tcPr/>
          <w:p>
            <w:pPr>
              <w:pStyle w:val="Compact"/>
              <w:jc w:val="right"/>
            </w:pPr>
            <w:r>
              <w:t xml:space="preserve">$0.00</w:t>
            </w:r>
          </w:p>
        </w:tc>
      </w:tr>
      <w:tr>
        <w:tc>
          <w:tcPr/>
          <w:p>
            <w:pPr>
              <w:pStyle w:val="Compact"/>
              <w:jc w:val="left"/>
            </w:pPr>
            <w:r>
              <w:t xml:space="preserve">Discount – Early Payment (2%)</w:t>
            </w:r>
          </w:p>
        </w:tc>
        <w:tc>
          <w:tcPr/>
          <w:p>
            <w:pPr>
              <w:pStyle w:val="Compact"/>
              <w:jc w:val="right"/>
            </w:pPr>
            <w:r>
              <w:t xml:space="preserve">-$537.00</w:t>
            </w:r>
          </w:p>
        </w:tc>
      </w:tr>
      <w:tr>
        <w:tc>
          <w:tcPr/>
          <w:p>
            <w:pPr>
              <w:pStyle w:val="Compact"/>
              <w:jc w:val="left"/>
            </w:pPr>
            <w:r>
              <w:t xml:space="preserve">Grand Total Due</w:t>
            </w:r>
          </w:p>
        </w:tc>
        <w:tc>
          <w:tcPr/>
          <w:p>
            <w:pPr>
              <w:pStyle w:val="Compact"/>
              <w:jc w:val="right"/>
            </w:pPr>
            <w:r>
              <w:t xml:space="preserve">$29,770.06</w:t>
            </w:r>
          </w:p>
        </w:tc>
      </w:tr>
    </w:tbl>
    <w:bookmarkStart w:id="22" w:name="invoice-notes-and-terms"/>
    <w:p>
      <w:pPr>
        <w:pStyle w:val="Heading3"/>
      </w:pPr>
      <w:r>
        <w:t xml:space="preserve">Invoice Notes and Terms</w:t>
      </w:r>
    </w:p>
    <w:p>
      <w:pPr>
        <w:pStyle w:val="FirstParagraph"/>
      </w:pPr>
      <w:r>
        <w:rPr>
          <w:bCs/>
          <w:b/>
        </w:rPr>
        <w:t xml:space="preserve">1.</w:t>
      </w:r>
      <w:r>
        <w:t xml:space="preserve"> </w:t>
      </w:r>
      <w:r>
        <w:t xml:space="preserve">This invoice is issued by a licensed chemist operating in New York City, New York, United States. All services described herein were performed by qualified pharmaceutical and analytical chemists holding valid New York State professional licenses and United States federal certifications where applicable.</w:t>
      </w:r>
    </w:p>
    <w:p>
      <w:pPr>
        <w:pStyle w:val="BodyText"/>
      </w:pPr>
      <w:r>
        <w:rPr>
          <w:bCs/>
          <w:b/>
        </w:rPr>
        <w:t xml:space="preserve">2.</w:t>
      </w:r>
      <w:r>
        <w:t xml:space="preserve"> </w:t>
      </w:r>
      <w:r>
        <w:t xml:space="preserve">Payment is due within thirty (30) calendar days of the invoice date. Late payments shall accrue interest at a rate of 1.5% per month as permitted under New York State commercial law (New York Uniform Commercial Code, Article 2).</w:t>
      </w:r>
    </w:p>
    <w:p>
      <w:pPr>
        <w:pStyle w:val="BodyText"/>
      </w:pPr>
      <w:r>
        <w:rPr>
          <w:bCs/>
          <w:b/>
        </w:rPr>
        <w:t xml:space="preserve">3.</w:t>
      </w:r>
      <w:r>
        <w:t xml:space="preserve"> </w:t>
      </w:r>
      <w:r>
        <w:t xml:space="preserve">Please make payment via wire transfer to Whitfield Analytical Chemistry Laboratories, Chase Bank, New York City, United States. Routing Number: 026009593. Account Number: [REDACTED]. Reference this invoice number (NYC-CHEM-2025-04872) on all remittances.</w:t>
      </w:r>
    </w:p>
    <w:p>
      <w:pPr>
        <w:pStyle w:val="BodyText"/>
      </w:pPr>
      <w:r>
        <w:rPr>
          <w:bCs/>
          <w:b/>
        </w:rPr>
        <w:t xml:space="preserve">4.</w:t>
      </w:r>
      <w:r>
        <w:t xml:space="preserve"> </w:t>
      </w:r>
      <w:r>
        <w:t xml:space="preserve">All analytical data, reports, and documentation generated by the chemist during the performance of these services remain the intellectual property of Whitfield Analytical Chemistry Laboratories unless otherwise agreed in writing. A non-exclusive license for use in regulatory submissions in the United States is granted to Meridian Pharmaceutical Group, Inc.</w:t>
      </w:r>
    </w:p>
    <w:p>
      <w:pPr>
        <w:pStyle w:val="BodyText"/>
      </w:pPr>
      <w:r>
        <w:rPr>
          <w:bCs/>
          <w:b/>
        </w:rPr>
        <w:t xml:space="preserve">5.</w:t>
      </w:r>
      <w:r>
        <w:t xml:space="preserve"> </w:t>
      </w:r>
      <w:r>
        <w:t xml:space="preserve">This invoice and all associated services are governed by the laws of the State of New York and the United States of America. Any disputes arising from this invoice shall be resolved through binding arbitration in New York City, New York, in accordance with the rules of the American Arbitration Association.</w:t>
      </w:r>
    </w:p>
    <w:p>
      <w:pPr>
        <w:pStyle w:val="BodyText"/>
      </w:pPr>
      <w:r>
        <w:rPr>
          <w:bCs/>
          <w:b/>
        </w:rPr>
        <w:t xml:space="preserve">6.</w:t>
      </w:r>
      <w:r>
        <w:t xml:space="preserve"> </w:t>
      </w:r>
      <w:r>
        <w:t xml:space="preserve">The chemist and laboratory maintain full compliance with all applicable New York City, New York State, and United States federal regulations, including but not limited to FDA cGMP requirements, OSHA workplace safety standards, and EPA environmental protection mandates. A copy of the current laboratory accreditation certificate (ISO/IEC 17025) is available upon request.</w:t>
      </w:r>
    </w:p>
    <w:bookmarkEnd w:id="22"/>
    <w:p>
      <w:pPr>
        <w:pStyle w:val="BodyText"/>
      </w:pPr>
      <w:r>
        <w:t xml:space="preserve">Whitfield Analytical Chemistry Laboratories — 1420 Broadway, Suite 2100, New York City, New York 10018, United States</w:t>
      </w:r>
      <w:r>
        <w:br/>
      </w:r>
      <w:r>
        <w:t xml:space="preserve">Licensed Chemist: Dr. Eleanor M. Whitfield, Ph.D., R.Ph. | NYS License RPH-2019-44821 | EIN 84-2917365</w:t>
      </w:r>
      <w:r>
        <w:br/>
      </w:r>
      <w:r>
        <w:t xml:space="preserve">This invoice was generated electronically and is valid without a physical signature. For questions regarding this invoice, please contact our billing department at (212) 555-0187 or billing@whitfieldchem.com.</w:t>
      </w:r>
      <w:r>
        <w:br/>
      </w:r>
      <w:r>
        <w:t xml:space="preserve">© 2025 Whitfield Analytical Chemistry Laboratories. All rights reserved. New York City, New York, United States.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New York City, United States</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