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Chemist Services &amp; Laboratory Analysis</w:t>
      </w:r>
    </w:p>
    <w:p>
      <w:pPr>
        <w:pStyle w:val="BodyText"/>
      </w:pPr>
      <w:r>
        <w:t xml:space="preserve">San Francisco, United States</w:t>
      </w:r>
    </w:p>
    <w:bookmarkEnd w:id="20"/>
    <w:p>
      <w:pPr>
        <w:pStyle w:val="BodyText"/>
      </w:pPr>
      <w:r>
        <w:rPr>
          <w:bCs/>
          <w:b/>
        </w:rPr>
        <w:t xml:space="preserve">Invoice Number:</w:t>
      </w:r>
      <w:r>
        <w:t xml:space="preserve"> </w:t>
      </w:r>
      <w:r>
        <w:t xml:space="preserve">INV-SF-2025-04872</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rPr>
          <w:bCs/>
          <w:b/>
        </w:rPr>
        <w:t xml:space="preserve">Service Period:</w:t>
      </w:r>
      <w:r>
        <w:t xml:space="preserve"> </w:t>
      </w:r>
      <w:r>
        <w:t xml:space="preserve">May 1 – May 31, 2025</w:t>
      </w:r>
    </w:p>
    <w:bookmarkStart w:id="21" w:name="chemist-service-provider"/>
    <w:p>
      <w:pPr>
        <w:pStyle w:val="Heading3"/>
      </w:pPr>
      <w:r>
        <w:t xml:space="preserve">Chemist / Service Provider</w:t>
      </w:r>
    </w:p>
    <w:p>
      <w:pPr>
        <w:pStyle w:val="FirstParagraph"/>
      </w:pPr>
      <w:r>
        <w:rPr>
          <w:bCs/>
          <w:b/>
        </w:rPr>
        <w:t xml:space="preserve">Dr. Eleanor M. Whitfield, Ph.D., R.Ph.</w:t>
      </w:r>
    </w:p>
    <w:p>
      <w:pPr>
        <w:pStyle w:val="BodyText"/>
      </w:pPr>
      <w:r>
        <w:t xml:space="preserve">Bay Area Chemist &amp; Analytical Laboratory</w:t>
      </w:r>
    </w:p>
    <w:p>
      <w:pPr>
        <w:pStyle w:val="BodyText"/>
      </w:pPr>
      <w:r>
        <w:t xml:space="preserve">1425 Market Street, Suite 890</w:t>
      </w:r>
    </w:p>
    <w:p>
      <w:pPr>
        <w:pStyle w:val="BodyText"/>
      </w:pPr>
      <w:r>
        <w:t xml:space="preserve">San Francisco, California 94103</w:t>
      </w:r>
    </w:p>
    <w:p>
      <w:pPr>
        <w:pStyle w:val="BodyText"/>
      </w:pPr>
      <w:r>
        <w:t xml:space="preserve">United States of America</w:t>
      </w:r>
    </w:p>
    <w:p>
      <w:pPr>
        <w:pStyle w:val="BodyText"/>
      </w:pPr>
      <w:r>
        <w:t xml:space="preserve">Tel: (415) 555-0192</w:t>
      </w:r>
    </w:p>
    <w:p>
      <w:pPr>
        <w:pStyle w:val="BodyText"/>
      </w:pPr>
      <w:r>
        <w:t xml:space="preserve">Email: e.whitfield@bayareachemist.com</w:t>
      </w:r>
    </w:p>
    <w:p>
      <w:pPr>
        <w:pStyle w:val="BodyText"/>
      </w:pPr>
      <w:r>
        <w:t xml:space="preserve">CA License No.: CHM-2019-44871</w:t>
      </w:r>
    </w:p>
    <w:bookmarkEnd w:id="21"/>
    <w:bookmarkStart w:id="22" w:name="billed-to-client"/>
    <w:p>
      <w:pPr>
        <w:pStyle w:val="Heading3"/>
      </w:pPr>
      <w:r>
        <w:t xml:space="preserve">Billed To / Client</w:t>
      </w:r>
    </w:p>
    <w:p>
      <w:pPr>
        <w:pStyle w:val="FirstParagraph"/>
      </w:pPr>
      <w:r>
        <w:rPr>
          <w:bCs/>
          <w:b/>
        </w:rPr>
        <w:t xml:space="preserve">Pacific Biomedical Research Institute</w:t>
      </w:r>
    </w:p>
    <w:p>
      <w:pPr>
        <w:pStyle w:val="BodyText"/>
      </w:pPr>
      <w:r>
        <w:t xml:space="preserve">Attn: Dr. James K. Thornton, Director of Operations</w:t>
      </w:r>
    </w:p>
    <w:p>
      <w:pPr>
        <w:pStyle w:val="BodyText"/>
      </w:pPr>
      <w:r>
        <w:t xml:space="preserve">2200 Grand Avenue, Building C</w:t>
      </w:r>
    </w:p>
    <w:p>
      <w:pPr>
        <w:pStyle w:val="BodyText"/>
      </w:pPr>
      <w:r>
        <w:t xml:space="preserve">San Francisco, California 94109</w:t>
      </w:r>
    </w:p>
    <w:p>
      <w:pPr>
        <w:pStyle w:val="BodyText"/>
      </w:pPr>
      <w:r>
        <w:t xml:space="preserve">United States of America</w:t>
      </w:r>
    </w:p>
    <w:p>
      <w:pPr>
        <w:pStyle w:val="BodyText"/>
      </w:pPr>
      <w:r>
        <w:t xml:space="preserve">Tel: (415) 555-0347</w:t>
      </w:r>
    </w:p>
    <w:p>
      <w:pPr>
        <w:pStyle w:val="BodyText"/>
      </w:pPr>
      <w:r>
        <w:t xml:space="preserve">Email: j.thornton@pacificbiomed.org</w:t>
      </w:r>
    </w:p>
    <w:p>
      <w:pPr>
        <w:pStyle w:val="BodyText"/>
      </w:pPr>
      <w:r>
        <w:t xml:space="preserve">Tax ID (EIN): 94-2837461</w:t>
      </w:r>
    </w:p>
    <w:bookmarkEnd w:id="22"/>
    <w:bookmarkStart w:id="25" w:name="X460fdd144a50338309d8ef4b09d4382d899eb6c"/>
    <w:p>
      <w:pPr>
        <w:pStyle w:val="Heading2"/>
      </w:pPr>
      <w:r>
        <w:t xml:space="preserve">Invoice Details – Chemist Professional Services Rendered in San Francisco, United States</w:t>
      </w:r>
    </w:p>
    <w:p>
      <w:pPr>
        <w:pStyle w:val="FirstParagraph"/>
      </w:pPr>
      <w:r>
        <w:t xml:space="preserve">The following Invoice itemizes all services, analyses, and consultations provided by the undersigned Chemist to the client during the stated service period. All work was performed in compliance with California State Board of Pharmacy regulations and United States federal standards for chemical and pharmaceutical analysis.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Chemist Service</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pharmaceutical compound analysis and quality assurance testing for new drug formulation (Lot #PBR-2025-114) conducted at the San Francisco laboratory facility</w:t>
            </w:r>
          </w:p>
        </w:tc>
        <w:tc>
          <w:tcPr/>
          <w:p>
            <w:pPr>
              <w:pStyle w:val="Compact"/>
              <w:jc w:val="left"/>
            </w:pPr>
            <w:r>
              <w:t xml:space="preserve">May 2, 2025</w:t>
            </w:r>
          </w:p>
        </w:tc>
        <w:tc>
          <w:tcPr/>
          <w:p>
            <w:pPr>
              <w:pStyle w:val="Compact"/>
              <w:jc w:val="left"/>
            </w:pPr>
            <w:r>
              <w:t xml:space="preserve">12 hrs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Chemist consultation and regulatory compliance review for FDA submission documentation, including review of chemical stability data and impurity profiles</w:t>
            </w:r>
          </w:p>
        </w:tc>
        <w:tc>
          <w:tcPr/>
          <w:p>
            <w:pPr>
              <w:pStyle w:val="Compact"/>
              <w:jc w:val="left"/>
            </w:pPr>
            <w:r>
              <w:t xml:space="preserve">May 5, 2025</w:t>
            </w:r>
          </w:p>
        </w:tc>
        <w:tc>
          <w:tcPr/>
          <w:p>
            <w:pPr>
              <w:pStyle w:val="Compact"/>
              <w:jc w:val="left"/>
            </w:pPr>
            <w:r>
              <w:t xml:space="preserve">6 hrs</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3</w:t>
            </w:r>
          </w:p>
        </w:tc>
        <w:tc>
          <w:tcPr/>
          <w:p>
            <w:pPr>
              <w:pStyle w:val="Compact"/>
              <w:jc w:val="left"/>
            </w:pPr>
            <w:r>
              <w:t xml:space="preserve">High-Performance Liquid Chromatography (HPLC) and Gas Chromatography-Mass Spectrometry (GC-MS) analysis of 47 biological samples collected in the San Francisco Bay Area</w:t>
            </w:r>
          </w:p>
        </w:tc>
        <w:tc>
          <w:tcPr/>
          <w:p>
            <w:pPr>
              <w:pStyle w:val="Compact"/>
              <w:jc w:val="left"/>
            </w:pPr>
            <w:r>
              <w:t xml:space="preserve">May 8 – May 10, 2025</w:t>
            </w:r>
          </w:p>
        </w:tc>
        <w:tc>
          <w:tcPr/>
          <w:p>
            <w:pPr>
              <w:pStyle w:val="Compact"/>
              <w:jc w:val="left"/>
            </w:pPr>
            <w:r>
              <w:t xml:space="preserve">47 samples</w:t>
            </w:r>
          </w:p>
        </w:tc>
        <w:tc>
          <w:tcPr/>
          <w:p>
            <w:pPr>
              <w:pStyle w:val="Compact"/>
              <w:jc w:val="left"/>
            </w:pPr>
            <w:r>
              <w:t xml:space="preserve">$95.00</w:t>
            </w:r>
          </w:p>
        </w:tc>
        <w:tc>
          <w:tcPr/>
          <w:p>
            <w:pPr>
              <w:pStyle w:val="Compact"/>
              <w:jc w:val="left"/>
            </w:pPr>
            <w:r>
              <w:t xml:space="preserve">$4,465.00</w:t>
            </w:r>
          </w:p>
        </w:tc>
      </w:tr>
      <w:tr>
        <w:tc>
          <w:tcPr/>
          <w:p>
            <w:pPr>
              <w:pStyle w:val="Compact"/>
              <w:jc w:val="left"/>
            </w:pPr>
            <w:r>
              <w:t xml:space="preserve">4</w:t>
            </w:r>
          </w:p>
        </w:tc>
        <w:tc>
          <w:tcPr/>
          <w:p>
            <w:pPr>
              <w:pStyle w:val="Compact"/>
              <w:jc w:val="left"/>
            </w:pPr>
            <w:r>
              <w:t xml:space="preserve">Preparation and certification of reference chemical standards for the client's internal quality control program, including Certificate of Analysis documentation</w:t>
            </w:r>
          </w:p>
        </w:tc>
        <w:tc>
          <w:tcPr/>
          <w:p>
            <w:pPr>
              <w:pStyle w:val="Compact"/>
              <w:jc w:val="left"/>
            </w:pPr>
            <w:r>
              <w:t xml:space="preserve">May 14, 2025</w:t>
            </w:r>
          </w:p>
        </w:tc>
        <w:tc>
          <w:tcPr/>
          <w:p>
            <w:pPr>
              <w:pStyle w:val="Compact"/>
              <w:jc w:val="left"/>
            </w:pPr>
            <w:r>
              <w:t xml:space="preserve">8 hrs</w:t>
            </w:r>
          </w:p>
        </w:tc>
        <w:tc>
          <w:tcPr/>
          <w:p>
            <w:pPr>
              <w:pStyle w:val="Compact"/>
              <w:jc w:val="left"/>
            </w:pPr>
            <w:r>
              <w:t xml:space="preserve">$165.00</w:t>
            </w:r>
          </w:p>
        </w:tc>
        <w:tc>
          <w:tcPr/>
          <w:p>
            <w:pPr>
              <w:pStyle w:val="Compact"/>
              <w:jc w:val="left"/>
            </w:pPr>
            <w:r>
              <w:t xml:space="preserve">$1,320.00</w:t>
            </w:r>
          </w:p>
        </w:tc>
      </w:tr>
      <w:tr>
        <w:tc>
          <w:tcPr/>
          <w:p>
            <w:pPr>
              <w:pStyle w:val="Compact"/>
              <w:jc w:val="left"/>
            </w:pPr>
            <w:r>
              <w:t xml:space="preserve">5</w:t>
            </w:r>
          </w:p>
        </w:tc>
        <w:tc>
          <w:tcPr/>
          <w:p>
            <w:pPr>
              <w:pStyle w:val="Compact"/>
              <w:jc w:val="left"/>
            </w:pPr>
            <w:r>
              <w:t xml:space="preserve">On-site laboratory inspection and chemist-led safety audit at the client's San Francisco research facility, including review of chemical storage, waste disposal protocols, and hazardous material handling procedures</w:t>
            </w:r>
          </w:p>
        </w:tc>
        <w:tc>
          <w:tcPr/>
          <w:p>
            <w:pPr>
              <w:pStyle w:val="Compact"/>
              <w:jc w:val="left"/>
            </w:pPr>
            <w:r>
              <w:t xml:space="preserve">May 19, 2025</w:t>
            </w:r>
          </w:p>
        </w:tc>
        <w:tc>
          <w:tcPr/>
          <w:p>
            <w:pPr>
              <w:pStyle w:val="Compact"/>
              <w:jc w:val="left"/>
            </w:pPr>
            <w:r>
              <w:t xml:space="preserve">10 hrs</w:t>
            </w:r>
          </w:p>
        </w:tc>
        <w:tc>
          <w:tcPr/>
          <w:p>
            <w:pPr>
              <w:pStyle w:val="Compact"/>
              <w:jc w:val="left"/>
            </w:pPr>
            <w:r>
              <w:t xml:space="preserve">$195.00</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Formulation development support: optimization of excipient ratios and solubility enhancement strategies for oral solid dosage form (Project SF-2025-007)</w:t>
            </w:r>
          </w:p>
        </w:tc>
        <w:tc>
          <w:tcPr/>
          <w:p>
            <w:pPr>
              <w:pStyle w:val="Compact"/>
              <w:jc w:val="left"/>
            </w:pPr>
            <w:r>
              <w:t xml:space="preserve">May 21 – May 23, 2025</w:t>
            </w:r>
          </w:p>
        </w:tc>
        <w:tc>
          <w:tcPr/>
          <w:p>
            <w:pPr>
              <w:pStyle w:val="Compact"/>
              <w:jc w:val="left"/>
            </w:pPr>
            <w:r>
              <w:t xml:space="preserve">18 hrs</w:t>
            </w:r>
          </w:p>
        </w:tc>
        <w:tc>
          <w:tcPr/>
          <w:p>
            <w:pPr>
              <w:pStyle w:val="Compact"/>
              <w:jc w:val="left"/>
            </w:pPr>
            <w:r>
              <w:t xml:space="preserve">$175.00</w:t>
            </w:r>
          </w:p>
        </w:tc>
        <w:tc>
          <w:tcPr/>
          <w:p>
            <w:pPr>
              <w:pStyle w:val="Compact"/>
              <w:jc w:val="left"/>
            </w:pPr>
            <w:r>
              <w:t xml:space="preserve">$3,150.00</w:t>
            </w:r>
          </w:p>
        </w:tc>
      </w:tr>
      <w:tr>
        <w:tc>
          <w:tcPr/>
          <w:p>
            <w:pPr>
              <w:pStyle w:val="Compact"/>
              <w:jc w:val="left"/>
            </w:pPr>
            <w:r>
              <w:t xml:space="preserve">7</w:t>
            </w:r>
          </w:p>
        </w:tc>
        <w:tc>
          <w:tcPr/>
          <w:p>
            <w:pPr>
              <w:pStyle w:val="Compact"/>
              <w:jc w:val="left"/>
            </w:pPr>
            <w:r>
              <w:t xml:space="preserve">Preparation of detailed analytical report and chemist's attestation letter for submission to the California Department of Public Health, Division of Laboratory Services</w:t>
            </w:r>
          </w:p>
        </w:tc>
        <w:tc>
          <w:tcPr/>
          <w:p>
            <w:pPr>
              <w:pStyle w:val="Compact"/>
              <w:jc w:val="left"/>
            </w:pPr>
            <w:r>
              <w:t xml:space="preserve">May 27, 2025</w:t>
            </w:r>
          </w:p>
        </w:tc>
        <w:tc>
          <w:tcPr/>
          <w:p>
            <w:pPr>
              <w:pStyle w:val="Compact"/>
              <w:jc w:val="left"/>
            </w:pPr>
            <w:r>
              <w:t xml:space="preserve">5 hrs</w:t>
            </w:r>
          </w:p>
        </w:tc>
        <w:tc>
          <w:tcPr/>
          <w:p>
            <w:pPr>
              <w:pStyle w:val="Compact"/>
              <w:jc w:val="left"/>
            </w:pPr>
            <w:r>
              <w:t xml:space="preserve">$200.00</w:t>
            </w:r>
          </w:p>
        </w:tc>
        <w:tc>
          <w:tcPr/>
          <w:p>
            <w:pPr>
              <w:pStyle w:val="Compact"/>
              <w:jc w:val="left"/>
            </w:pPr>
            <w:r>
              <w:t xml:space="preserve">$1,000.00</w:t>
            </w:r>
          </w:p>
        </w:tc>
      </w:tr>
      <w:tr>
        <w:tc>
          <w:tcPr/>
          <w:p>
            <w:pPr>
              <w:pStyle w:val="Compact"/>
              <w:jc w:val="left"/>
            </w:pPr>
            <w:r>
              <w:t xml:space="preserve">8</w:t>
            </w:r>
          </w:p>
        </w:tc>
        <w:tc>
          <w:tcPr/>
          <w:p>
            <w:pPr>
              <w:pStyle w:val="Compact"/>
              <w:jc w:val="left"/>
            </w:pPr>
            <w:r>
              <w:t xml:space="preserve">Emergency chemical spill assessment and remediation guidance at the client's South San Francisco satellite laboratory, including environmental impact evaluation</w:t>
            </w:r>
          </w:p>
        </w:tc>
        <w:tc>
          <w:tcPr/>
          <w:p>
            <w:pPr>
              <w:pStyle w:val="Compact"/>
              <w:jc w:val="left"/>
            </w:pPr>
            <w:r>
              <w:t xml:space="preserve">May 29, 2025</w:t>
            </w:r>
          </w:p>
        </w:tc>
        <w:tc>
          <w:tcPr/>
          <w:p>
            <w:pPr>
              <w:pStyle w:val="Compact"/>
              <w:jc w:val="left"/>
            </w:pPr>
            <w:r>
              <w:t xml:space="preserve">4 hrs</w:t>
            </w:r>
          </w:p>
        </w:tc>
        <w:tc>
          <w:tcPr/>
          <w:p>
            <w:pPr>
              <w:pStyle w:val="Compact"/>
              <w:jc w:val="left"/>
            </w:pPr>
            <w:r>
              <w:t xml:space="preserve">$250.00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$16,365.00</w:t>
            </w:r>
          </w:p>
        </w:tc>
      </w:tr>
      <w:tr>
        <w:tc>
          <w:tcPr/>
          <w:p>
            <w:pPr>
              <w:pStyle w:val="Compact"/>
              <w:jc w:val="left"/>
            </w:pPr>
            <w:r>
              <w:t xml:space="preserve">California Sales Tax (8.5%)</w:t>
            </w:r>
          </w:p>
        </w:tc>
        <w:tc>
          <w:tcPr/>
          <w:p>
            <w:pPr>
              <w:pStyle w:val="Compact"/>
              <w:jc w:val="left"/>
            </w:pPr>
            <w:r>
              <w:t xml:space="preserve">$1,391.03</w:t>
            </w:r>
          </w:p>
        </w:tc>
      </w:tr>
      <w:tr>
        <w:tc>
          <w:tcPr/>
          <w:p>
            <w:pPr>
              <w:pStyle w:val="Compact"/>
              <w:jc w:val="left"/>
            </w:pPr>
            <w:r>
              <w:t xml:space="preserve">San Francisco Municipal Business Tax (0.3%)</w:t>
            </w:r>
          </w:p>
        </w:tc>
        <w:tc>
          <w:tcPr/>
          <w:p>
            <w:pPr>
              <w:pStyle w:val="Compact"/>
              <w:jc w:val="left"/>
            </w:pPr>
            <w:r>
              <w:t xml:space="preserve">$49.10</w:t>
            </w:r>
          </w:p>
        </w:tc>
      </w:tr>
      <w:tr>
        <w:tc>
          <w:tcPr/>
          <w:p>
            <w:pPr>
              <w:pStyle w:val="Compact"/>
              <w:jc w:val="left"/>
            </w:pPr>
            <w:r>
              <w:t xml:space="preserve">Expedited Processing Surcharge</w:t>
            </w:r>
          </w:p>
        </w:tc>
        <w:tc>
          <w:tcPr/>
          <w:p>
            <w:pPr>
              <w:pStyle w:val="Compact"/>
              <w:jc w:val="left"/>
            </w:pPr>
            <w:r>
              <w:t xml:space="preserve">$250.00</w:t>
            </w:r>
          </w:p>
        </w:tc>
      </w:tr>
      <w:tr>
        <w:tc>
          <w:tcPr/>
          <w:p>
            <w:pPr>
              <w:pStyle w:val="Compact"/>
              <w:jc w:val="left"/>
            </w:pPr>
            <w:r>
              <w:t xml:space="preserve">Grand Total Due</w:t>
            </w:r>
          </w:p>
        </w:tc>
        <w:tc>
          <w:tcPr/>
          <w:p>
            <w:pPr>
              <w:pStyle w:val="Compact"/>
              <w:jc w:val="left"/>
            </w:pPr>
            <w:r>
              <w:t xml:space="preserve">$18,055.13</w:t>
            </w:r>
          </w:p>
        </w:tc>
      </w:tr>
    </w:tbl>
    <w:bookmarkStart w:id="23" w:name="payment-instructions"/>
    <w:p>
      <w:pPr>
        <w:pStyle w:val="Heading3"/>
      </w:pPr>
      <w:r>
        <w:t xml:space="preserve">Payment Instructions</w:t>
      </w:r>
    </w:p>
    <w:p>
      <w:pPr>
        <w:pStyle w:val="FirstParagraph"/>
      </w:pPr>
      <w:r>
        <w:t xml:space="preserve">Please remit payment of</w:t>
      </w:r>
      <w:r>
        <w:t xml:space="preserve"> </w:t>
      </w:r>
      <w:r>
        <w:rPr>
          <w:bCs/>
          <w:b/>
        </w:rPr>
        <w:t xml:space="preserve">$18,055.13 USD</w:t>
      </w:r>
      <w:r>
        <w:t xml:space="preserve"> </w:t>
      </w:r>
      <w:r>
        <w:t xml:space="preserve">within thirty (30) calendar days of the Invoice issue date. Payments may be made via ACH transfer, wire transfer, or certified check payable to</w:t>
      </w:r>
      <w:r>
        <w:t xml:space="preserve"> </w:t>
      </w:r>
      <w:r>
        <w:rPr>
          <w:iCs/>
          <w:i/>
        </w:rPr>
        <w:t xml:space="preserve">Bay Area Chemist &amp; Analytical Laboratory</w:t>
      </w:r>
      <w:r>
        <w:t xml:space="preserve">. Bank details: First Republic Bank, San Francisco, CA – Routing No. 121000358, Account No. 4487-2291-003. Please reference Invoice Number INV-SF-2025-04872 on all remittances.</w:t>
      </w:r>
    </w:p>
    <w:bookmarkEnd w:id="23"/>
    <w:bookmarkStart w:id="24" w:name="terms-and-conditions"/>
    <w:p>
      <w:pPr>
        <w:pStyle w:val="Heading3"/>
      </w:pPr>
      <w:r>
        <w:t xml:space="preserve">Terms and Conditions</w:t>
      </w:r>
    </w:p>
    <w:p>
      <w:pPr>
        <w:numPr>
          <w:ilvl w:val="0"/>
          <w:numId w:val="1001"/>
        </w:numPr>
        <w:pStyle w:val="Compact"/>
      </w:pPr>
      <w:r>
        <w:t xml:space="preserve">This Invoice represents the final and complete accounting for all Chemist services rendered during the period of May 1 through May 31, 2025, in the San Francisco, United States jurisdiction.</w:t>
      </w:r>
    </w:p>
    <w:p>
      <w:pPr>
        <w:numPr>
          <w:ilvl w:val="0"/>
          <w:numId w:val="1001"/>
        </w:numPr>
        <w:pStyle w:val="Compact"/>
      </w:pPr>
      <w:r>
        <w:t xml:space="preserve">All laboratory analyses and chemical testing were conducted in accordance with Good Laboratory Practice (GLP) standards as mandated by the United States Food and Drug Administration (21 CFR Parts 58) and California Health and Safety Code.</w:t>
      </w:r>
    </w:p>
    <w:p>
      <w:pPr>
        <w:numPr>
          <w:ilvl w:val="0"/>
          <w:numId w:val="1001"/>
        </w:numPr>
        <w:pStyle w:val="Compact"/>
      </w:pPr>
      <w:r>
        <w:t xml:space="preserve">The Chemist services described herein are subject to the professional liability and malpractice insurance coverage maintained by the service provider, with a policy limit of $5,000,000 per occurrence.</w:t>
      </w:r>
    </w:p>
    <w:p>
      <w:pPr>
        <w:numPr>
          <w:ilvl w:val="0"/>
          <w:numId w:val="1001"/>
        </w:numPr>
        <w:pStyle w:val="Compact"/>
      </w:pPr>
      <w:r>
        <w:t xml:space="preserve">Overdue payments on this Invoice shall accrue interest at a rate of 1.5% per month (18% APR) in compliance with California Civil Code Section 3289. Late payment beyond sixty (60) days may result in referral to a San Francisco-based collections agency.</w:t>
      </w:r>
    </w:p>
    <w:p>
      <w:pPr>
        <w:numPr>
          <w:ilvl w:val="0"/>
          <w:numId w:val="1001"/>
        </w:numPr>
        <w:pStyle w:val="Compact"/>
      </w:pPr>
      <w:r>
        <w:t xml:space="preserve">All chemical samples, reagents, and analytical data associated with this Invoice remain the intellectual property of the client unless otherwise specified in the executed Service Agreement dated March 15, 2025.</w:t>
      </w:r>
    </w:p>
    <w:p>
      <w:pPr>
        <w:numPr>
          <w:ilvl w:val="0"/>
          <w:numId w:val="1001"/>
        </w:numPr>
        <w:pStyle w:val="Compact"/>
      </w:pPr>
      <w:r>
        <w:t xml:space="preserve">This Invoice is governed by the laws of the State of California and the United States of America. Any disputes arising from this Invoice shall be resolved through binding arbitration in San Francisco, California, in accordance with the rules of the American Arbitration Association.</w:t>
      </w:r>
    </w:p>
    <w:p>
      <w:pPr>
        <w:numPr>
          <w:ilvl w:val="0"/>
          <w:numId w:val="1001"/>
        </w:numPr>
        <w:pStyle w:val="Compact"/>
      </w:pPr>
      <w:r>
        <w:t xml:space="preserve">The Chemist service provider warrants that all analyses reported under this Invoice were performed by a licensed and qualified chemist using calibrated, validated instrumentation maintained under a documented quality management system.</w:t>
      </w:r>
    </w:p>
    <w:bookmarkEnd w:id="24"/>
    <w:p>
      <w:pPr>
        <w:pStyle w:val="FirstParagraph"/>
      </w:pPr>
      <w:r>
        <w:rPr>
          <w:bCs/>
          <w:b/>
        </w:rPr>
        <w:t xml:space="preserve">Bay Area Chemist &amp; Analytical Laboratory</w:t>
      </w:r>
      <w:r>
        <w:t xml:space="preserve"> </w:t>
      </w:r>
      <w:r>
        <w:t xml:space="preserve">| 1425 Market Street, Suite 890, San Francisco, CA 94103, United States</w:t>
      </w:r>
    </w:p>
    <w:p>
      <w:pPr>
        <w:pStyle w:val="BodyText"/>
      </w:pPr>
      <w:r>
        <w:t xml:space="preserve">CA Chemist License: CHM-2019-44871 | DEA Registration: FW4829103 | EIN: 94-7712045</w:t>
      </w:r>
    </w:p>
    <w:p>
      <w:pPr>
        <w:pStyle w:val="BodyText"/>
      </w:pPr>
      <w:r>
        <w:t xml:space="preserve">This Invoice was generated electronically and is valid without a physical signature. For questions regarding this Invoice, please contact the billing department at billing@bayareachemist.com or (415) 555-0192, Monday through Friday, 8:00 AM to 5:30 PM Pacific Time.</w:t>
      </w:r>
    </w:p>
    <w:p>
      <w:pPr>
        <w:pStyle w:val="BodyText"/>
      </w:pPr>
      <w:r>
        <w:t xml:space="preserve">© 2025 Bay Area Chemist &amp; Analytical Laboratory. All rights reserved. Invoice INV-SF-2025-04872.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Services - San Francisco, United States</dc:title>
  <dc:creator/>
  <dc:language>en</dc:language>
  <cp:keywords/>
  <dcterms:created xsi:type="dcterms:W3CDTF">2026-10-10T01:22:44Z</dcterms:created>
  <dcterms:modified xsi:type="dcterms:W3CDTF">2026-10-10T01:22:44Z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