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Zimbabwe</w:t>
      </w:r>
      <w:r>
        <w:t xml:space="preserve"> </w:t>
      </w:r>
      <w:r>
        <w:t xml:space="preserve">Harare</w:t>
      </w:r>
      <w:r>
        <w:t xml:space="preserve"> </w:t>
      </w:r>
      <w:r>
        <w:t xml:space="preserve">Chemist</w:t>
      </w:r>
    </w:p>
    <w:bookmarkStart w:id="20" w:name="harare-central-chemist-pharmacy"/>
    <w:p>
      <w:pPr>
        <w:pStyle w:val="Heading1"/>
      </w:pPr>
      <w:r>
        <w:t xml:space="preserve">Harare Central Chemist &amp; Pharmacy</w:t>
      </w:r>
    </w:p>
    <w:p>
      <w:pPr>
        <w:pStyle w:val="FirstParagraph"/>
      </w:pPr>
      <w:r>
        <w:t xml:space="preserve">12 Samora Machel Avenue, Harare, Zimbabwe</w:t>
      </w:r>
    </w:p>
    <w:p>
      <w:pPr>
        <w:pStyle w:val="BodyText"/>
      </w:pPr>
      <w:r>
        <w:t xml:space="preserve">P.O. Box 4521, Harare, Zimbabwe</w:t>
      </w:r>
    </w:p>
    <w:p>
      <w:pPr>
        <w:pStyle w:val="BodyText"/>
      </w:pPr>
      <w:r>
        <w:t xml:space="preserve">Tel: +263 242 789 456 | Mobile: +263 772 345 678</w:t>
      </w:r>
    </w:p>
    <w:p>
      <w:pPr>
        <w:pStyle w:val="BodyText"/>
      </w:pPr>
      <w:r>
        <w:t xml:space="preserve">Email: billing@hararecentralchemist.co.zw</w:t>
      </w:r>
    </w:p>
    <w:p>
      <w:pPr>
        <w:pStyle w:val="BodyText"/>
      </w:pPr>
      <w:r>
        <w:t xml:space="preserve">Registration No: ZW-2019-08472 | VAT Reg: 472019-8472</w:t>
      </w:r>
    </w:p>
    <w:p>
      <w:pPr>
        <w:pStyle w:val="BodyText"/>
      </w:pPr>
      <w:r>
        <w:t xml:space="preserve">Licensed by: Zimbabwe Pharmacy and Poisons Board</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HC-2025-004872</w:t>
      </w:r>
    </w:p>
    <w:p>
      <w:pPr>
        <w:pStyle w:val="BodyText"/>
      </w:pPr>
      <w:r>
        <w:rPr>
          <w:bCs/>
          <w:b/>
        </w:rPr>
        <w:t xml:space="preserve">Invoice Date:</w:t>
      </w:r>
      <w:r>
        <w:t xml:space="preserve"> </w:t>
      </w:r>
      <w:r>
        <w:t xml:space="preserve">14 June 2025</w:t>
      </w:r>
    </w:p>
    <w:p>
      <w:pPr>
        <w:pStyle w:val="BodyText"/>
      </w:pPr>
      <w:r>
        <w:rPr>
          <w:bCs/>
          <w:b/>
        </w:rPr>
        <w:t xml:space="preserve">Due Date:</w:t>
      </w:r>
      <w:r>
        <w:t xml:space="preserve"> </w:t>
      </w:r>
      <w:r>
        <w:t xml:space="preserve">28 June 2025</w:t>
      </w:r>
    </w:p>
    <w:p>
      <w:pPr>
        <w:pStyle w:val="BodyText"/>
      </w:pPr>
      <w:r>
        <w:t xml:space="preserve">Pending Payment</w:t>
      </w:r>
    </w:p>
    <w:bookmarkEnd w:id="21"/>
    <w:bookmarkStart w:id="22" w:name="billed-to"/>
    <w:p>
      <w:pPr>
        <w:pStyle w:val="Heading3"/>
      </w:pPr>
      <w:r>
        <w:t xml:space="preserve">Billed To</w:t>
      </w:r>
    </w:p>
    <w:p>
      <w:pPr>
        <w:pStyle w:val="FirstParagraph"/>
      </w:pPr>
      <w:r>
        <w:rPr>
          <w:bCs/>
          <w:b/>
        </w:rPr>
        <w:t xml:space="preserve">Client Name:</w:t>
      </w:r>
      <w:r>
        <w:t xml:space="preserve"> </w:t>
      </w:r>
      <w:r>
        <w:t xml:space="preserve">Ms. Tendai Moyo</w:t>
      </w:r>
    </w:p>
    <w:p>
      <w:pPr>
        <w:pStyle w:val="BodyText"/>
      </w:pPr>
      <w:r>
        <w:rPr>
          <w:bCs/>
          <w:b/>
        </w:rPr>
        <w:t xml:space="preserve">Company:</w:t>
      </w:r>
      <w:r>
        <w:t xml:space="preserve"> </w:t>
      </w:r>
      <w:r>
        <w:t xml:space="preserve">Moyo Family Health Clinic</w:t>
      </w:r>
    </w:p>
    <w:p>
      <w:pPr>
        <w:pStyle w:val="BodyText"/>
      </w:pPr>
      <w:r>
        <w:rPr>
          <w:bCs/>
          <w:b/>
        </w:rPr>
        <w:t xml:space="preserve">Address:</w:t>
      </w:r>
      <w:r>
        <w:t xml:space="preserve"> </w:t>
      </w:r>
      <w:r>
        <w:t xml:space="preserve">45 Avondale Road, Avondale, Harare, Zimbabwe</w:t>
      </w:r>
    </w:p>
    <w:p>
      <w:pPr>
        <w:pStyle w:val="BodyText"/>
      </w:pPr>
      <w:r>
        <w:rPr>
          <w:bCs/>
          <w:b/>
        </w:rPr>
        <w:t xml:space="preserve">P.O. Box:</w:t>
      </w:r>
      <w:r>
        <w:t xml:space="preserve"> </w:t>
      </w:r>
      <w:r>
        <w:t xml:space="preserve">7832, Harare, Zimbabwe</w:t>
      </w:r>
    </w:p>
    <w:p>
      <w:pPr>
        <w:pStyle w:val="BodyText"/>
      </w:pPr>
      <w:r>
        <w:rPr>
          <w:bCs/>
          <w:b/>
        </w:rPr>
        <w:t xml:space="preserve">Contact:</w:t>
      </w:r>
      <w:r>
        <w:t xml:space="preserve"> </w:t>
      </w:r>
      <w:r>
        <w:t xml:space="preserve">+263 713 892 341</w:t>
      </w:r>
    </w:p>
    <w:p>
      <w:pPr>
        <w:pStyle w:val="BodyText"/>
      </w:pPr>
      <w:r>
        <w:rPr>
          <w:bCs/>
          <w:b/>
        </w:rPr>
        <w:t xml:space="preserve">Email:</w:t>
      </w:r>
      <w:r>
        <w:t xml:space="preserve"> </w:t>
      </w:r>
      <w:r>
        <w:t xml:space="preserve">tendai.moyo@mfhc.co.zw</w:t>
      </w:r>
    </w:p>
    <w:p>
      <w:pPr>
        <w:pStyle w:val="BodyText"/>
      </w:pPr>
      <w:r>
        <w:rPr>
          <w:bCs/>
          <w:b/>
        </w:rPr>
        <w:t xml:space="preserve">VAT No:</w:t>
      </w:r>
      <w:r>
        <w:t xml:space="preserve"> </w:t>
      </w:r>
      <w:r>
        <w:t xml:space="preserve">472021-3391</w:t>
      </w:r>
    </w:p>
    <w:bookmarkEnd w:id="22"/>
    <w:bookmarkStart w:id="23" w:name="invoice-reference"/>
    <w:p>
      <w:pPr>
        <w:pStyle w:val="Heading3"/>
      </w:pPr>
      <w:r>
        <w:t xml:space="preserve">Invoice Reference</w:t>
      </w:r>
    </w:p>
    <w:p>
      <w:pPr>
        <w:pStyle w:val="FirstParagraph"/>
      </w:pPr>
      <w:r>
        <w:rPr>
          <w:bCs/>
          <w:b/>
        </w:rPr>
        <w:t xml:space="preserve">Prescription Ref:</w:t>
      </w:r>
      <w:r>
        <w:t xml:space="preserve"> </w:t>
      </w:r>
      <w:r>
        <w:t xml:space="preserve">RX-2025-11847</w:t>
      </w:r>
    </w:p>
    <w:p>
      <w:pPr>
        <w:pStyle w:val="BodyText"/>
      </w:pPr>
      <w:r>
        <w:rPr>
          <w:bCs/>
          <w:b/>
        </w:rPr>
        <w:t xml:space="preserve">Pharmacist:</w:t>
      </w:r>
      <w:r>
        <w:t xml:space="preserve"> </w:t>
      </w:r>
      <w:r>
        <w:t xml:space="preserve">Pharm. R. Chikafu, R.Pharm</w:t>
      </w:r>
    </w:p>
    <w:p>
      <w:pPr>
        <w:pStyle w:val="BodyText"/>
      </w:pPr>
      <w:r>
        <w:rPr>
          <w:bCs/>
          <w:b/>
        </w:rPr>
        <w:t xml:space="preserve">Department:</w:t>
      </w:r>
      <w:r>
        <w:t xml:space="preserve"> </w:t>
      </w:r>
      <w:r>
        <w:t xml:space="preserve">Outpatient Dispensing</w:t>
      </w:r>
    </w:p>
    <w:p>
      <w:pPr>
        <w:pStyle w:val="BodyText"/>
      </w:pPr>
      <w:r>
        <w:rPr>
          <w:bCs/>
          <w:b/>
        </w:rPr>
        <w:t xml:space="preserve">Payment Method:</w:t>
      </w:r>
      <w:r>
        <w:t xml:space="preserve"> </w:t>
      </w:r>
      <w:r>
        <w:t xml:space="preserve">EFT / Bank Transfer</w:t>
      </w:r>
    </w:p>
    <w:p>
      <w:pPr>
        <w:pStyle w:val="BodyText"/>
      </w:pPr>
      <w:r>
        <w:rPr>
          <w:bCs/>
          <w:b/>
        </w:rPr>
        <w:t xml:space="preserve">Bank:</w:t>
      </w:r>
      <w:r>
        <w:t xml:space="preserve"> </w:t>
      </w:r>
      <w:r>
        <w:t xml:space="preserve">CBZ Bank, Harare Main Branch</w:t>
      </w:r>
    </w:p>
    <w:p>
      <w:pPr>
        <w:pStyle w:val="BodyText"/>
      </w:pPr>
      <w:r>
        <w:rPr>
          <w:bCs/>
          <w:b/>
        </w:rPr>
        <w:t xml:space="preserve">Account No:</w:t>
      </w:r>
      <w:r>
        <w:t xml:space="preserve"> </w:t>
      </w:r>
      <w:r>
        <w:t xml:space="preserve">400123456789</w:t>
      </w:r>
    </w:p>
    <w:p>
      <w:pPr>
        <w:pStyle w:val="BodyText"/>
      </w:pPr>
      <w:r>
        <w:rPr>
          <w:bCs/>
          <w:b/>
        </w:rPr>
        <w:t xml:space="preserve">Branch Code:</w:t>
      </w:r>
      <w:r>
        <w:t xml:space="preserve"> </w:t>
      </w:r>
      <w:r>
        <w:t xml:space="preserve">4001</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Item</w:t>
            </w:r>
          </w:p>
        </w:tc>
        <w:tc>
          <w:tcPr/>
          <w:p>
            <w:pPr>
              <w:pStyle w:val="Compact"/>
              <w:jc w:val="left"/>
            </w:pPr>
            <w:r>
              <w:t xml:space="preserve">Product Code</w:t>
            </w:r>
          </w:p>
        </w:tc>
        <w:tc>
          <w:tcPr/>
          <w:p>
            <w:pPr>
              <w:pStyle w:val="Compact"/>
              <w:jc w:val="left"/>
            </w:pPr>
            <w:r>
              <w:t xml:space="preserve">Qty</w:t>
            </w:r>
          </w:p>
        </w:tc>
        <w:tc>
          <w:tcPr/>
          <w:p>
            <w:pPr>
              <w:pStyle w:val="Compact"/>
              <w:jc w:val="left"/>
            </w:pPr>
            <w:r>
              <w:t xml:space="preserve">Unit Price (ZWL)</w:t>
            </w:r>
          </w:p>
        </w:tc>
        <w:tc>
          <w:tcPr/>
          <w:p>
            <w:pPr>
              <w:pStyle w:val="Compact"/>
              <w:jc w:val="left"/>
            </w:pPr>
            <w:r>
              <w:t xml:space="preserve">Amount (ZWL)</w:t>
            </w:r>
          </w:p>
        </w:tc>
      </w:tr>
      <w:tr>
        <w:tc>
          <w:tcPr/>
          <w:p>
            <w:pPr>
              <w:pStyle w:val="Compact"/>
              <w:jc w:val="left"/>
            </w:pPr>
            <w:r>
              <w:t xml:space="preserve">1</w:t>
            </w:r>
          </w:p>
        </w:tc>
        <w:tc>
          <w:tcPr/>
          <w:p>
            <w:pPr>
              <w:pStyle w:val="Compact"/>
              <w:jc w:val="left"/>
            </w:pPr>
            <w:r>
              <w:t xml:space="preserve">Amoxicillin 500mg Capsules (28 capsules) – Antibiotic prescribed for respiratory infection</w:t>
            </w:r>
          </w:p>
        </w:tc>
        <w:tc>
          <w:tcPr/>
          <w:p>
            <w:pPr>
              <w:pStyle w:val="Compact"/>
              <w:jc w:val="left"/>
            </w:pPr>
            <w:r>
              <w:t xml:space="preserve">AMX-500-28</w:t>
            </w:r>
          </w:p>
        </w:tc>
        <w:tc>
          <w:tcPr/>
          <w:p>
            <w:pPr>
              <w:pStyle w:val="Compact"/>
              <w:jc w:val="left"/>
            </w:pPr>
            <w:r>
              <w:t xml:space="preserve">3</w:t>
            </w:r>
          </w:p>
        </w:tc>
        <w:tc>
          <w:tcPr/>
          <w:p>
            <w:pPr>
              <w:pStyle w:val="Compact"/>
              <w:jc w:val="left"/>
            </w:pPr>
            <w:r>
              <w:t xml:space="preserve">850.00</w:t>
            </w:r>
          </w:p>
        </w:tc>
        <w:tc>
          <w:tcPr/>
          <w:p>
            <w:pPr>
              <w:pStyle w:val="Compact"/>
              <w:jc w:val="left"/>
            </w:pPr>
            <w:r>
              <w:t xml:space="preserve">2,550.00</w:t>
            </w:r>
          </w:p>
        </w:tc>
      </w:tr>
      <w:tr>
        <w:tc>
          <w:tcPr/>
          <w:p>
            <w:pPr>
              <w:pStyle w:val="Compact"/>
              <w:jc w:val="left"/>
            </w:pPr>
            <w:r>
              <w:t xml:space="preserve">2</w:t>
            </w:r>
          </w:p>
        </w:tc>
        <w:tc>
          <w:tcPr/>
          <w:p>
            <w:pPr>
              <w:pStyle w:val="Compact"/>
              <w:jc w:val="left"/>
            </w:pPr>
            <w:r>
              <w:t xml:space="preserve">Paracetamol 500mg Tablets (100 tablets) – Analgesic and antipyretic</w:t>
            </w:r>
          </w:p>
        </w:tc>
        <w:tc>
          <w:tcPr/>
          <w:p>
            <w:pPr>
              <w:pStyle w:val="Compact"/>
              <w:jc w:val="left"/>
            </w:pPr>
            <w:r>
              <w:t xml:space="preserve">PCM-500-100</w:t>
            </w:r>
          </w:p>
        </w:tc>
        <w:tc>
          <w:tcPr/>
          <w:p>
            <w:pPr>
              <w:pStyle w:val="Compact"/>
              <w:jc w:val="left"/>
            </w:pPr>
            <w:r>
              <w:t xml:space="preserve">5</w:t>
            </w:r>
          </w:p>
        </w:tc>
        <w:tc>
          <w:tcPr/>
          <w:p>
            <w:pPr>
              <w:pStyle w:val="Compact"/>
              <w:jc w:val="left"/>
            </w:pPr>
            <w:r>
              <w:t xml:space="preserve">420.00</w:t>
            </w:r>
          </w:p>
        </w:tc>
        <w:tc>
          <w:tcPr/>
          <w:p>
            <w:pPr>
              <w:pStyle w:val="Compact"/>
              <w:jc w:val="left"/>
            </w:pPr>
            <w:r>
              <w:t xml:space="preserve">2,100.00</w:t>
            </w:r>
          </w:p>
        </w:tc>
      </w:tr>
      <w:tr>
        <w:tc>
          <w:tcPr/>
          <w:p>
            <w:pPr>
              <w:pStyle w:val="Compact"/>
              <w:jc w:val="left"/>
            </w:pPr>
            <w:r>
              <w:t xml:space="preserve">3</w:t>
            </w:r>
          </w:p>
        </w:tc>
        <w:tc>
          <w:tcPr/>
          <w:p>
            <w:pPr>
              <w:pStyle w:val="Compact"/>
              <w:jc w:val="left"/>
            </w:pPr>
            <w:r>
              <w:t xml:space="preserve">Omeprazole 20mg Capsules (28 capsules) – Proton pump inhibitor for gastric reflux</w:t>
            </w:r>
          </w:p>
        </w:tc>
        <w:tc>
          <w:tcPr/>
          <w:p>
            <w:pPr>
              <w:pStyle w:val="Compact"/>
              <w:jc w:val="left"/>
            </w:pPr>
            <w:r>
              <w:t xml:space="preserve">OMP-20-28</w:t>
            </w:r>
          </w:p>
        </w:tc>
        <w:tc>
          <w:tcPr/>
          <w:p>
            <w:pPr>
              <w:pStyle w:val="Compact"/>
              <w:jc w:val="left"/>
            </w:pPr>
            <w:r>
              <w:t xml:space="preserve">2</w:t>
            </w:r>
          </w:p>
        </w:tc>
        <w:tc>
          <w:tcPr/>
          <w:p>
            <w:pPr>
              <w:pStyle w:val="Compact"/>
              <w:jc w:val="left"/>
            </w:pPr>
            <w:r>
              <w:t xml:space="preserve">1,250.00</w:t>
            </w:r>
          </w:p>
        </w:tc>
        <w:tc>
          <w:tcPr/>
          <w:p>
            <w:pPr>
              <w:pStyle w:val="Compact"/>
              <w:jc w:val="left"/>
            </w:pPr>
            <w:r>
              <w:t xml:space="preserve">2,500.00</w:t>
            </w:r>
          </w:p>
        </w:tc>
      </w:tr>
      <w:tr>
        <w:tc>
          <w:tcPr/>
          <w:p>
            <w:pPr>
              <w:pStyle w:val="Compact"/>
              <w:jc w:val="left"/>
            </w:pPr>
            <w:r>
              <w:t xml:space="preserve">4</w:t>
            </w:r>
          </w:p>
        </w:tc>
        <w:tc>
          <w:tcPr/>
          <w:p>
            <w:pPr>
              <w:pStyle w:val="Compact"/>
              <w:jc w:val="left"/>
            </w:pPr>
            <w:r>
              <w:t xml:space="preserve">Metformin 850mg Tablets (60 tablets) – Antidiabetic medication</w:t>
            </w:r>
          </w:p>
        </w:tc>
        <w:tc>
          <w:tcPr/>
          <w:p>
            <w:pPr>
              <w:pStyle w:val="Compact"/>
              <w:jc w:val="left"/>
            </w:pPr>
            <w:r>
              <w:t xml:space="preserve">MTF-850-60</w:t>
            </w:r>
          </w:p>
        </w:tc>
        <w:tc>
          <w:tcPr/>
          <w:p>
            <w:pPr>
              <w:pStyle w:val="Compact"/>
              <w:jc w:val="left"/>
            </w:pPr>
            <w:r>
              <w:t xml:space="preserve">4</w:t>
            </w:r>
          </w:p>
        </w:tc>
        <w:tc>
          <w:tcPr/>
          <w:p>
            <w:pPr>
              <w:pStyle w:val="Compact"/>
              <w:jc w:val="left"/>
            </w:pPr>
            <w:r>
              <w:t xml:space="preserve">980.00</w:t>
            </w:r>
          </w:p>
        </w:tc>
        <w:tc>
          <w:tcPr/>
          <w:p>
            <w:pPr>
              <w:pStyle w:val="Compact"/>
              <w:jc w:val="left"/>
            </w:pPr>
            <w:r>
              <w:t xml:space="preserve">3,920.00</w:t>
            </w:r>
          </w:p>
        </w:tc>
      </w:tr>
      <w:tr>
        <w:tc>
          <w:tcPr/>
          <w:p>
            <w:pPr>
              <w:pStyle w:val="Compact"/>
              <w:jc w:val="left"/>
            </w:pPr>
            <w:r>
              <w:t xml:space="preserve">5</w:t>
            </w:r>
          </w:p>
        </w:tc>
        <w:tc>
          <w:tcPr/>
          <w:p>
            <w:pPr>
              <w:pStyle w:val="Compact"/>
              <w:jc w:val="left"/>
            </w:pPr>
            <w:r>
              <w:t xml:space="preserve">Salbutamol Inhaler 100mcg (200 doses) – Bronchodilator for asthma management</w:t>
            </w:r>
          </w:p>
        </w:tc>
        <w:tc>
          <w:tcPr/>
          <w:p>
            <w:pPr>
              <w:pStyle w:val="Compact"/>
              <w:jc w:val="left"/>
            </w:pPr>
            <w:r>
              <w:t xml:space="preserve">SLB-100-200</w:t>
            </w:r>
          </w:p>
        </w:tc>
        <w:tc>
          <w:tcPr/>
          <w:p>
            <w:pPr>
              <w:pStyle w:val="Compact"/>
              <w:jc w:val="left"/>
            </w:pPr>
            <w:r>
              <w:t xml:space="preserve">2</w:t>
            </w:r>
          </w:p>
        </w:tc>
        <w:tc>
          <w:tcPr/>
          <w:p>
            <w:pPr>
              <w:pStyle w:val="Compact"/>
              <w:jc w:val="left"/>
            </w:pPr>
            <w:r>
              <w:t xml:space="preserve">2,400.00</w:t>
            </w:r>
          </w:p>
        </w:tc>
        <w:tc>
          <w:tcPr/>
          <w:p>
            <w:pPr>
              <w:pStyle w:val="Compact"/>
              <w:jc w:val="left"/>
            </w:pPr>
            <w:r>
              <w:t xml:space="preserve">4,800.00</w:t>
            </w:r>
          </w:p>
        </w:tc>
      </w:tr>
      <w:tr>
        <w:tc>
          <w:tcPr/>
          <w:p>
            <w:pPr>
              <w:pStyle w:val="Compact"/>
              <w:jc w:val="left"/>
            </w:pPr>
            <w:r>
              <w:t xml:space="preserve">6</w:t>
            </w:r>
          </w:p>
        </w:tc>
        <w:tc>
          <w:tcPr/>
          <w:p>
            <w:pPr>
              <w:pStyle w:val="Compact"/>
              <w:jc w:val="left"/>
            </w:pPr>
            <w:r>
              <w:t xml:space="preserve">Oral Rehydration Salts (ORS) Sachets (10 sachets) – Dehydration treatment</w:t>
            </w:r>
          </w:p>
        </w:tc>
        <w:tc>
          <w:tcPr/>
          <w:p>
            <w:pPr>
              <w:pStyle w:val="Compact"/>
              <w:jc w:val="left"/>
            </w:pPr>
            <w:r>
              <w:t xml:space="preserve">ORS-10</w:t>
            </w:r>
          </w:p>
        </w:tc>
        <w:tc>
          <w:tcPr/>
          <w:p>
            <w:pPr>
              <w:pStyle w:val="Compact"/>
              <w:jc w:val="left"/>
            </w:pPr>
            <w:r>
              <w:t xml:space="preserve">6</w:t>
            </w:r>
          </w:p>
        </w:tc>
        <w:tc>
          <w:tcPr/>
          <w:p>
            <w:pPr>
              <w:pStyle w:val="Compact"/>
              <w:jc w:val="left"/>
            </w:pPr>
            <w:r>
              <w:t xml:space="preserve">310.00</w:t>
            </w:r>
          </w:p>
        </w:tc>
        <w:tc>
          <w:tcPr/>
          <w:p>
            <w:pPr>
              <w:pStyle w:val="Compact"/>
              <w:jc w:val="left"/>
            </w:pPr>
            <w:r>
              <w:t xml:space="preserve">1,860.00</w:t>
            </w:r>
          </w:p>
        </w:tc>
      </w:tr>
      <w:tr>
        <w:tc>
          <w:tcPr/>
          <w:p>
            <w:pPr>
              <w:pStyle w:val="Compact"/>
              <w:jc w:val="left"/>
            </w:pPr>
            <w:r>
              <w:t xml:space="preserve">7</w:t>
            </w:r>
          </w:p>
        </w:tc>
        <w:tc>
          <w:tcPr/>
          <w:p>
            <w:pPr>
              <w:pStyle w:val="Compact"/>
              <w:jc w:val="left"/>
            </w:pPr>
            <w:r>
              <w:t xml:space="preserve">Topical Antifungal Cream 15g – Clotrimazole 1% for dermatological use</w:t>
            </w:r>
          </w:p>
        </w:tc>
        <w:tc>
          <w:tcPr/>
          <w:p>
            <w:pPr>
              <w:pStyle w:val="Compact"/>
              <w:jc w:val="left"/>
            </w:pPr>
            <w:r>
              <w:t xml:space="preserve">CLT-1-15</w:t>
            </w:r>
          </w:p>
        </w:tc>
        <w:tc>
          <w:tcPr/>
          <w:p>
            <w:pPr>
              <w:pStyle w:val="Compact"/>
              <w:jc w:val="left"/>
            </w:pPr>
            <w:r>
              <w:t xml:space="preserve">3</w:t>
            </w:r>
          </w:p>
        </w:tc>
        <w:tc>
          <w:tcPr/>
          <w:p>
            <w:pPr>
              <w:pStyle w:val="Compact"/>
              <w:jc w:val="left"/>
            </w:pPr>
            <w:r>
              <w:t xml:space="preserve">560.00</w:t>
            </w:r>
          </w:p>
        </w:tc>
        <w:tc>
          <w:tcPr/>
          <w:p>
            <w:pPr>
              <w:pStyle w:val="Compact"/>
              <w:jc w:val="left"/>
            </w:pPr>
            <w:r>
              <w:t xml:space="preserve">1,680.00</w:t>
            </w:r>
          </w:p>
        </w:tc>
      </w:tr>
      <w:tr>
        <w:tc>
          <w:tcPr/>
          <w:p>
            <w:pPr>
              <w:pStyle w:val="Compact"/>
              <w:jc w:val="left"/>
            </w:pPr>
            <w:r>
              <w:t xml:space="preserve">8</w:t>
            </w:r>
          </w:p>
        </w:tc>
        <w:tc>
          <w:tcPr/>
          <w:p>
            <w:pPr>
              <w:pStyle w:val="Compact"/>
              <w:jc w:val="left"/>
            </w:pPr>
            <w:r>
              <w:t xml:space="preserve">Dispensing and Professional Pharmacist Consultation Fee</w:t>
            </w:r>
          </w:p>
        </w:tc>
        <w:tc>
          <w:tcPr/>
          <w:p>
            <w:pPr>
              <w:pStyle w:val="Compact"/>
              <w:jc w:val="left"/>
            </w:pPr>
            <w:r>
              <w:t xml:space="preserve">SVC-DISP-01</w:t>
            </w:r>
          </w:p>
        </w:tc>
        <w:tc>
          <w:tcPr/>
          <w:p>
            <w:pPr>
              <w:pStyle w:val="Compact"/>
              <w:jc w:val="left"/>
            </w:pPr>
            <w:r>
              <w:t xml:space="preserve">1</w:t>
            </w:r>
          </w:p>
        </w:tc>
        <w:tc>
          <w:tcPr/>
          <w:p>
            <w:pPr>
              <w:pStyle w:val="Compact"/>
              <w:jc w:val="left"/>
            </w:pPr>
            <w:r>
              <w:t xml:space="preserve">750.00</w:t>
            </w:r>
          </w:p>
        </w:tc>
        <w:tc>
          <w:tcPr/>
          <w:p>
            <w:pPr>
              <w:pStyle w:val="Compact"/>
              <w:jc w:val="left"/>
            </w:pPr>
            <w:r>
              <w:t xml:space="preserve">750.00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ZWL 20,160.00</w:t>
            </w:r>
          </w:p>
        </w:tc>
      </w:tr>
      <w:tr>
        <w:tc>
          <w:tcPr/>
          <w:p>
            <w:pPr>
              <w:pStyle w:val="Compact"/>
              <w:jc w:val="left"/>
            </w:pPr>
            <w:r>
              <w:t xml:space="preserve">VAT @ 15% (Zimbabwe Value Added Tax)</w:t>
            </w:r>
          </w:p>
        </w:tc>
        <w:tc>
          <w:tcPr/>
          <w:p>
            <w:pPr>
              <w:pStyle w:val="Compact"/>
              <w:jc w:val="left"/>
            </w:pPr>
            <w:r>
              <w:t xml:space="preserve">ZWL 3,024.00</w:t>
            </w:r>
          </w:p>
        </w:tc>
      </w:tr>
      <w:tr>
        <w:tc>
          <w:tcPr/>
          <w:p>
            <w:pPr>
              <w:pStyle w:val="Compact"/>
              <w:jc w:val="left"/>
            </w:pPr>
            <w:r>
              <w:t xml:space="preserve">Delivery Fee (Harare Metro Area)</w:t>
            </w:r>
          </w:p>
        </w:tc>
        <w:tc>
          <w:tcPr/>
          <w:p>
            <w:pPr>
              <w:pStyle w:val="Compact"/>
              <w:jc w:val="left"/>
            </w:pPr>
            <w:r>
              <w:t xml:space="preserve">ZWL 350.00</w:t>
            </w:r>
          </w:p>
        </w:tc>
      </w:tr>
      <w:tr>
        <w:tc>
          <w:tcPr/>
          <w:p>
            <w:pPr>
              <w:pStyle w:val="Compact"/>
              <w:jc w:val="left"/>
            </w:pPr>
            <w:r>
              <w:t xml:space="preserve">GRAND TOTAL</w:t>
            </w:r>
          </w:p>
        </w:tc>
        <w:tc>
          <w:tcPr/>
          <w:p>
            <w:pPr>
              <w:pStyle w:val="Compact"/>
              <w:jc w:val="left"/>
            </w:pPr>
            <w:r>
              <w:t xml:space="preserve">ZWL 23,534.00</w:t>
            </w:r>
          </w:p>
        </w:tc>
      </w:tr>
    </w:tbl>
    <w:bookmarkStart w:id="24" w:name="payment-instructions"/>
    <w:p>
      <w:pPr>
        <w:pStyle w:val="Heading3"/>
      </w:pPr>
      <w:r>
        <w:t xml:space="preserve">Payment Instructions</w:t>
      </w:r>
    </w:p>
    <w:p>
      <w:pPr>
        <w:pStyle w:val="FirstParagraph"/>
      </w:pPr>
      <w:r>
        <w:t xml:space="preserve">This Invoice must be settled within fourteen (14) calendar days from the Invoice date of 14 June 2025. Payment is to be made via Electronic Funds Transfer (EFT) to the bank account details provided above, or by cash/cheque at our Harare Central Chemist &amp; Pharmacy counter located at 12 Samora Machel Avenue, Harare, Zimbabwe. Please quote the Invoice number</w:t>
      </w:r>
      <w:r>
        <w:t xml:space="preserve"> </w:t>
      </w:r>
      <w:r>
        <w:rPr>
          <w:bCs/>
          <w:b/>
        </w:rPr>
        <w:t xml:space="preserve">HC-2025-004872</w:t>
      </w:r>
      <w:r>
        <w:t xml:space="preserve"> </w:t>
      </w:r>
      <w:r>
        <w:t xml:space="preserve">as a payment reference. A late payment surcharge of 2% per month will be applied to any outstanding balance after the due date of 28 June 2025. All amounts are quoted in Zimbabwean Dollars (ZWL) and are subject to the prevailing exchange rate where applicable for foreign currency transactions.</w:t>
      </w:r>
    </w:p>
    <w:bookmarkEnd w:id="24"/>
    <w:bookmarkStart w:id="25" w:name="terms-and-conditions-of-this-invoice"/>
    <w:p>
      <w:pPr>
        <w:pStyle w:val="Heading3"/>
      </w:pPr>
      <w:r>
        <w:t xml:space="preserve">Terms and Conditions of This Invoice</w:t>
      </w:r>
    </w:p>
    <w:p>
      <w:pPr>
        <w:numPr>
          <w:ilvl w:val="0"/>
          <w:numId w:val="1001"/>
        </w:numPr>
        <w:pStyle w:val="Compact"/>
      </w:pPr>
      <w:r>
        <w:t xml:space="preserve">All medications and pharmaceutical products listed on this Invoice have been dispensed in accordance with the Zimbabwe Pharmacy and Poisons Board regulations and under the supervision of a registered pharmacist at our Harare chemist facility.</w:t>
      </w:r>
    </w:p>
    <w:p>
      <w:pPr>
        <w:numPr>
          <w:ilvl w:val="0"/>
          <w:numId w:val="1001"/>
        </w:numPr>
        <w:pStyle w:val="Compact"/>
      </w:pPr>
      <w:r>
        <w:t xml:space="preserve">This Invoice constitutes the final and binding record of the transaction between Harare Central Chemist &amp; Pharmacy and the client. Any discrepancies must be reported within seven (7) days of receipt of goods.</w:t>
      </w:r>
    </w:p>
    <w:p>
      <w:pPr>
        <w:numPr>
          <w:ilvl w:val="0"/>
          <w:numId w:val="1001"/>
        </w:numPr>
        <w:pStyle w:val="Compact"/>
      </w:pPr>
      <w:r>
        <w:t xml:space="preserve">Prescription medications dispensed under this Invoice are non-refundable once the sealed packaging has been opened, in compliance with Zimbabwean pharmaceutical law.</w:t>
      </w:r>
    </w:p>
    <w:p>
      <w:pPr>
        <w:numPr>
          <w:ilvl w:val="0"/>
          <w:numId w:val="1001"/>
        </w:numPr>
        <w:pStyle w:val="Compact"/>
      </w:pPr>
      <w:r>
        <w:t xml:space="preserve">Over-the-counter health products may be returned within fourteen (14) days in their original, unopened condition for a full refund, subject to inspection by our chemist staff.</w:t>
      </w:r>
    </w:p>
    <w:p>
      <w:pPr>
        <w:numPr>
          <w:ilvl w:val="0"/>
          <w:numId w:val="1001"/>
        </w:numPr>
        <w:pStyle w:val="Compact"/>
      </w:pPr>
      <w:r>
        <w:t xml:space="preserve">Harare Central Chemist &amp; Pharmacy reserves the right to adjust pricing in the event of significant currency fluctuation in the Zimbabwean Dollar (ZWL) prior to the payment due date. Any such adjustment will be communicated in writing.</w:t>
      </w:r>
    </w:p>
    <w:p>
      <w:pPr>
        <w:numPr>
          <w:ilvl w:val="0"/>
          <w:numId w:val="1001"/>
        </w:numPr>
        <w:pStyle w:val="Compact"/>
      </w:pPr>
      <w:r>
        <w:t xml:space="preserve">This Invoice is valid only for the Zimbabwe Harare metropolitan area for delivery purposes. Out-of-area delivery to other provinces in Zimbabwe will incur additional logistics charges as per our standard rate card.</w:t>
      </w:r>
    </w:p>
    <w:p>
      <w:pPr>
        <w:numPr>
          <w:ilvl w:val="0"/>
          <w:numId w:val="1001"/>
        </w:numPr>
        <w:pStyle w:val="Compact"/>
      </w:pPr>
      <w:r>
        <w:t xml:space="preserve">All personal health information contained in this Invoice is protected under the Zimbabwe Data Protection Act (2021) and will not be disclosed to third parties without written consent from the client.</w:t>
      </w:r>
    </w:p>
    <w:p>
      <w:pPr>
        <w:numPr>
          <w:ilvl w:val="0"/>
          <w:numId w:val="1001"/>
        </w:numPr>
        <w:pStyle w:val="Compact"/>
      </w:pPr>
      <w:r>
        <w:t xml:space="preserve">For queries regarding this Invoice, please contact our billing department at billing@hararecentralchemist.co.zw or call +263 242 789 456 during business hours (Monday to Friday, 08:00–17:00; Saturday, 08:00–13:00).</w:t>
      </w:r>
    </w:p>
    <w:bookmarkEnd w:id="25"/>
    <w:p>
      <w:pPr>
        <w:pStyle w:val="FirstParagraph"/>
      </w:pPr>
      <w:r>
        <w:rPr>
          <w:bCs/>
          <w:b/>
        </w:rPr>
        <w:t xml:space="preserve">Harare Central Chemist &amp; Pharmacy</w:t>
      </w:r>
      <w:r>
        <w:t xml:space="preserve"> </w:t>
      </w:r>
      <w:r>
        <w:t xml:space="preserve">| 12 Samora Machel Avenue, Harare, Zimbabwe</w:t>
      </w:r>
    </w:p>
    <w:p>
      <w:pPr>
        <w:pStyle w:val="BodyText"/>
      </w:pPr>
      <w:r>
        <w:t xml:space="preserve">Registration: ZW-2019-08472 | VAT: 472019-8472 | Pharmacy Licence: PPB-2019-0341</w:t>
      </w:r>
    </w:p>
    <w:p>
      <w:pPr>
        <w:pStyle w:val="BodyText"/>
      </w:pPr>
      <w:r>
        <w:t xml:space="preserve">This Invoice was generated electronically and is valid without a physical signature. Thank you for choosing our Zimbabwe Harare chemist services.</w:t>
      </w:r>
    </w:p>
    <w:p>
      <w:pPr>
        <w:pStyle w:val="BodyText"/>
      </w:pPr>
      <w:r>
        <w:t xml:space="preserve">Page 1 of 1 | Generated: 14 June 2025 | Invoice HC-2025-004872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Zimbabwe Harare Chemist</dc:title>
  <dc:creator/>
  <dc:language>en</dc:language>
  <cp:keywords/>
  <dcterms:created xsi:type="dcterms:W3CDTF">2026-10-10T04:32:39Z</dcterms:created>
  <dcterms:modified xsi:type="dcterms:W3CDTF">2026-10-10T04:32:39Z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