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Civil</w:t>
      </w:r>
      <w:r>
        <w:t xml:space="preserve"> </w:t>
      </w:r>
      <w:r>
        <w:t xml:space="preserve">Engineering</w:t>
      </w:r>
      <w:r>
        <w:t xml:space="preserve"> </w:t>
      </w:r>
      <w:r>
        <w:t xml:space="preserve">Invoice</w:t>
      </w:r>
      <w:r>
        <w:t xml:space="preserve"> </w:t>
      </w:r>
      <w:r>
        <w:t xml:space="preserve">-</w:t>
      </w:r>
      <w:r>
        <w:t xml:space="preserve"> </w:t>
      </w:r>
      <w:r>
        <w:t xml:space="preserve">Melbourne,</w:t>
      </w:r>
      <w:r>
        <w:t xml:space="preserve"> </w:t>
      </w:r>
      <w:r>
        <w:t xml:space="preserve">Australia</w:t>
      </w:r>
    </w:p>
    <w:bookmarkStart w:id="20" w:name="melbourne-structural-civil-solutions"/>
    <w:p>
      <w:pPr>
        <w:pStyle w:val="Heading1"/>
      </w:pPr>
      <w:r>
        <w:t xml:space="preserve">Melbourne Structural &amp; Civil Solutions</w:t>
      </w:r>
    </w:p>
    <w:p>
      <w:pPr>
        <w:pStyle w:val="FirstParagraph"/>
      </w:pPr>
      <w:r>
        <w:rPr>
          <w:bCs/>
          <w:b/>
        </w:rPr>
        <w:t xml:space="preserve">ABN:</w:t>
      </w:r>
      <w:r>
        <w:t xml:space="preserve"> </w:t>
      </w:r>
      <w:r>
        <w:t xml:space="preserve">12 345 678 901</w:t>
      </w:r>
    </w:p>
    <w:p>
      <w:pPr>
        <w:pStyle w:val="BodyText"/>
      </w:pPr>
      <w:r>
        <w:t xml:space="preserve">Level 12, 100 Collins Street</w:t>
      </w:r>
    </w:p>
    <w:p>
      <w:pPr>
        <w:pStyle w:val="BodyText"/>
      </w:pPr>
      <w:r>
        <w:t xml:space="preserve">Melbourne, VIC 3000, Australia</w:t>
      </w:r>
    </w:p>
    <w:p>
      <w:pPr>
        <w:pStyle w:val="BodyText"/>
      </w:pPr>
      <w:r>
        <w:t xml:space="preserve">Phone: +61 3 9000 0000</w:t>
      </w:r>
    </w:p>
    <w:p>
      <w:pPr>
        <w:pStyle w:val="BodyText"/>
      </w:pPr>
      <w:r>
        <w:t xml:space="preserve">Email: accounts@melbournecivil.com.au</w:t>
      </w:r>
    </w:p>
    <w:bookmarkEnd w:id="20"/>
    <w:bookmarkStart w:id="21" w:name="tax-invoice"/>
    <w:p>
      <w:pPr>
        <w:pStyle w:val="Heading2"/>
      </w:pPr>
      <w:r>
        <w:t xml:space="preserve">Tax Invoice</w:t>
      </w:r>
    </w:p>
    <w:p>
      <w:pPr>
        <w:pStyle w:val="FirstParagraph"/>
      </w:pPr>
      <w:r>
        <w:rPr>
          <w:bCs/>
          <w:b/>
        </w:rPr>
        <w:t xml:space="preserve">Invoice #:</w:t>
      </w:r>
      <w:r>
        <w:t xml:space="preserve"> </w:t>
      </w:r>
      <w:r>
        <w:t xml:space="preserve">INV-2023-10-45</w:t>
      </w:r>
    </w:p>
    <w:p>
      <w:pPr>
        <w:pStyle w:val="BodyText"/>
      </w:pPr>
      <w:r>
        <w:rPr>
          <w:bCs/>
          <w:b/>
        </w:rPr>
        <w:t xml:space="preserve">Date:</w:t>
      </w:r>
      <w:r>
        <w:t xml:space="preserve"> </w:t>
      </w:r>
      <w:r>
        <w:t xml:space="preserve">24 October 2023</w:t>
      </w:r>
    </w:p>
    <w:p>
      <w:pPr>
        <w:pStyle w:val="BodyText"/>
      </w:pPr>
      <w:r>
        <w:rPr>
          <w:bCs/>
          <w:b/>
        </w:rPr>
        <w:t xml:space="preserve">Due Date:</w:t>
      </w:r>
      <w:r>
        <w:t xml:space="preserve"> </w:t>
      </w:r>
      <w:r>
        <w:t xml:space="preserve">24 November 2023</w:t>
      </w:r>
    </w:p>
    <w:bookmarkEnd w:id="21"/>
    <w:bookmarkStart w:id="22" w:name="bill-to"/>
    <w:p>
      <w:pPr>
        <w:pStyle w:val="Heading3"/>
      </w:pPr>
      <w:r>
        <w:t xml:space="preserve">Bill To:</w:t>
      </w:r>
    </w:p>
    <w:p>
      <w:pPr>
        <w:pStyle w:val="FirstParagraph"/>
      </w:pPr>
      <w:r>
        <w:rPr>
          <w:bCs/>
          <w:b/>
        </w:rPr>
        <w:t xml:space="preserve">Yarra Valley Development Group Pty Ltd</w:t>
      </w:r>
    </w:p>
    <w:p>
      <w:pPr>
        <w:pStyle w:val="BodyText"/>
      </w:pPr>
      <w:r>
        <w:t xml:space="preserve">ABN: 98 765 432 109</w:t>
      </w:r>
    </w:p>
    <w:p>
      <w:pPr>
        <w:pStyle w:val="BodyText"/>
      </w:pPr>
      <w:r>
        <w:t xml:space="preserve">45 Swanston Street</w:t>
      </w:r>
    </w:p>
    <w:p>
      <w:pPr>
        <w:pStyle w:val="BodyText"/>
      </w:pPr>
      <w:r>
        <w:t xml:space="preserve">Melbourne, VIC 3000, Australia</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Docklands Residential Precinct Expansion</w:t>
      </w:r>
    </w:p>
    <w:p>
      <w:pPr>
        <w:pStyle w:val="BodyText"/>
      </w:pPr>
      <w:r>
        <w:rPr>
          <w:bCs/>
          <w:b/>
        </w:rPr>
        <w:t xml:space="preserve">Site Address:</w:t>
      </w:r>
      <w:r>
        <w:t xml:space="preserve"> </w:t>
      </w:r>
      <w:r>
        <w:t xml:space="preserve">88 Harbour Esplanade, Docklands, VIC 3008</w:t>
      </w:r>
    </w:p>
    <w:p>
      <w:pPr>
        <w:pStyle w:val="BodyText"/>
      </w:pPr>
      <w:r>
        <w:rPr>
          <w:bCs/>
          <w:b/>
        </w:rPr>
        <w:t xml:space="preserve">Reference:</w:t>
      </w:r>
      <w:r>
        <w:t xml:space="preserve"> </w:t>
      </w:r>
      <w:r>
        <w:t xml:space="preserve">Contract Ref: MCV-2023-DL-04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Geotechnical Site Investigation &amp; Analysis</w:t>
            </w:r>
            <w:r>
              <w:br/>
            </w:r>
            <w:r>
              <w:t xml:space="preserve">Comprehensive soil testing and analysis conducted at the Docklands site to ensure compliance with Australian Standards (AS 1726). This includes borehole logging, laboratory testing for shear strength and permeability, and the preparation of a detailed geotechnical report for the foundation design of the proposed high-rise structure.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rPr>
                <w:bCs/>
                <w:b/>
              </w:rPr>
              <w:t xml:space="preserve">Stormwater Drainage Design (Melbourne Water Compliance)</w:t>
            </w:r>
            <w:r>
              <w:br/>
            </w:r>
            <w:r>
              <w:t xml:space="preserve">Design of the site stormwater management system in strict accordance with Melbourne Water Design Guidelines. This service includes hydraulic modeling using SWMM software, design of underground drainage networks, detention tanks, and connection points to the municipal sewerage system to prevent local flooding and manage peak runoff events.</w:t>
            </w:r>
          </w:p>
        </w:tc>
        <w:tc>
          <w:tcPr/>
          <w:p>
            <w:pPr>
              <w:pStyle w:val="Compact"/>
              <w:jc w:val="left"/>
            </w:pPr>
            <w:r>
              <w:t xml:space="preserve">45</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3</w:t>
            </w:r>
          </w:p>
        </w:tc>
        <w:tc>
          <w:tcPr/>
          <w:p>
            <w:pPr>
              <w:pStyle w:val="Compact"/>
              <w:jc w:val="left"/>
            </w:pPr>
            <w:r>
              <w:rPr>
                <w:bCs/>
                <w:b/>
              </w:rPr>
              <w:t xml:space="preserve">Structural Foundation Engineering</w:t>
            </w:r>
            <w:r>
              <w:br/>
            </w:r>
            <w:r>
              <w:t xml:space="preserve">Detailed structural calculations and design documentation for the pile cap and raft foundation system. This work ensures the stability of the structure on the specific soil conditions found in the Melbourne CBD/Docklands area, adhering to the National Construction Code (NCC) and AS 3600 for concrete structures.</w:t>
            </w:r>
          </w:p>
        </w:tc>
        <w:tc>
          <w:tcPr/>
          <w:p>
            <w:pPr>
              <w:pStyle w:val="Compact"/>
              <w:jc w:val="left"/>
            </w:pPr>
            <w:r>
              <w:t xml:space="preserve">60</w:t>
            </w:r>
          </w:p>
        </w:tc>
        <w:tc>
          <w:tcPr/>
          <w:p>
            <w:pPr>
              <w:pStyle w:val="Compact"/>
              <w:jc w:val="left"/>
            </w:pPr>
            <w:r>
              <w:t xml:space="preserve">210.00</w:t>
            </w:r>
          </w:p>
        </w:tc>
        <w:tc>
          <w:tcPr/>
          <w:p>
            <w:pPr>
              <w:pStyle w:val="Compact"/>
              <w:jc w:val="left"/>
            </w:pPr>
            <w:r>
              <w:t xml:space="preserve">12,600.00</w:t>
            </w:r>
          </w:p>
        </w:tc>
      </w:tr>
      <w:tr>
        <w:tc>
          <w:tcPr/>
          <w:p>
            <w:pPr>
              <w:pStyle w:val="Compact"/>
              <w:jc w:val="left"/>
            </w:pPr>
            <w:r>
              <w:t xml:space="preserve">4</w:t>
            </w:r>
          </w:p>
        </w:tc>
        <w:tc>
          <w:tcPr/>
          <w:p>
            <w:pPr>
              <w:pStyle w:val="Compact"/>
              <w:jc w:val="left"/>
            </w:pPr>
            <w:r>
              <w:rPr>
                <w:bCs/>
                <w:b/>
              </w:rPr>
              <w:t xml:space="preserve">Site Grading and Earthworks Plan</w:t>
            </w:r>
            <w:r>
              <w:br/>
            </w:r>
            <w:r>
              <w:t xml:space="preserve">Preparation of detailed cut-and-fill calculations and site grading plans. This ensures proper drainage away from building footprints and compliance with local council planning permits regarding site levels and retaining wall requirements.</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5</w:t>
            </w:r>
          </w:p>
        </w:tc>
        <w:tc>
          <w:tcPr/>
          <w:p>
            <w:pPr>
              <w:pStyle w:val="Compact"/>
              <w:jc w:val="left"/>
            </w:pPr>
            <w:r>
              <w:rPr>
                <w:bCs/>
                <w:b/>
              </w:rPr>
              <w:t xml:space="preserve">Construction Supervision &amp; Certification</w:t>
            </w:r>
            <w:r>
              <w:br/>
            </w:r>
            <w:r>
              <w:t xml:space="preserve">On-site supervision by a licensed Civil Engineer during the critical phases of excavation and piling. Includes issuance of necessary engineering certificates required for building inspections by the City of Melbourne building surveyor.</w:t>
            </w:r>
          </w:p>
        </w:tc>
        <w:tc>
          <w:tcPr/>
          <w:p>
            <w:pPr>
              <w:pStyle w:val="Compact"/>
              <w:jc w:val="left"/>
            </w:pPr>
            <w:r>
              <w:t xml:space="preserve">15</w:t>
            </w:r>
          </w:p>
        </w:tc>
        <w:tc>
          <w:tcPr/>
          <w:p>
            <w:pPr>
              <w:pStyle w:val="Compact"/>
              <w:jc w:val="left"/>
            </w:pPr>
            <w:r>
              <w:t xml:space="preserve">220.00</w:t>
            </w:r>
          </w:p>
        </w:tc>
        <w:tc>
          <w:tcPr/>
          <w:p>
            <w:pPr>
              <w:pStyle w:val="Compact"/>
              <w:jc w:val="left"/>
            </w:pPr>
            <w:r>
              <w:t xml:space="preserve">3,300.00</w:t>
            </w:r>
          </w:p>
        </w:tc>
      </w:tr>
    </w:tbl>
    <w:p>
      <w:pPr>
        <w:pStyle w:val="BodyText"/>
      </w:pPr>
      <w:r>
        <w:t xml:space="preserve">Subtotal:</w:t>
      </w:r>
      <w:r>
        <w:t xml:space="preserve"> </w:t>
      </w:r>
      <w:r>
        <w:t xml:space="preserve">$40,425.00</w:t>
      </w:r>
    </w:p>
    <w:p>
      <w:pPr>
        <w:pStyle w:val="BodyText"/>
      </w:pPr>
      <w:r>
        <w:t xml:space="preserve">GST (10%):</w:t>
      </w:r>
      <w:r>
        <w:t xml:space="preserve"> </w:t>
      </w:r>
      <w:r>
        <w:t xml:space="preserve">$4,042.50</w:t>
      </w:r>
    </w:p>
    <w:p>
      <w:pPr>
        <w:pStyle w:val="BodyText"/>
      </w:pPr>
      <w:r>
        <w:t xml:space="preserve">Total Due (AUD):</w:t>
      </w:r>
      <w:r>
        <w:t xml:space="preserve"> </w:t>
      </w:r>
      <w:r>
        <w:t xml:space="preserve">$44,467.50</w:t>
      </w:r>
    </w:p>
    <w:bookmarkStart w:id="24" w:name="terms-and-conditions"/>
    <w:p>
      <w:pPr>
        <w:pStyle w:val="Heading3"/>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Please include the Invoice Number in your payment reference.</w:t>
      </w:r>
      <w:r>
        <w:br/>
      </w:r>
      <w:r>
        <w:t xml:space="preserve">2.</w:t>
      </w:r>
      <w:r>
        <w:t xml:space="preserve"> </w:t>
      </w:r>
      <w:r>
        <w:rPr>
          <w:bCs/>
          <w:b/>
        </w:rPr>
        <w:t xml:space="preserve">Bank Details:</w:t>
      </w:r>
      <w:r>
        <w:br/>
      </w:r>
      <w:r>
        <w:t xml:space="preserve">Bank: Commonwealth Bank of Australia</w:t>
      </w:r>
      <w:r>
        <w:br/>
      </w:r>
      <w:r>
        <w:t xml:space="preserve">BSB: 062-000</w:t>
      </w:r>
      <w:r>
        <w:br/>
      </w:r>
      <w:r>
        <w:t xml:space="preserve">Account Name: Melbourne Structural &amp; Civil Solutions Pty Ltd</w:t>
      </w:r>
      <w:r>
        <w:br/>
      </w:r>
      <w:r>
        <w:t xml:space="preserve">Account Number: 123456789</w:t>
      </w:r>
      <w:r>
        <w:br/>
      </w:r>
      <w:r>
        <w:t xml:space="preserve">3.</w:t>
      </w:r>
      <w:r>
        <w:t xml:space="preserve"> </w:t>
      </w:r>
      <w:r>
        <w:rPr>
          <w:bCs/>
          <w:b/>
        </w:rPr>
        <w:t xml:space="preserve">Scope of Work:</w:t>
      </w:r>
      <w:r>
        <w:t xml:space="preserve"> </w:t>
      </w:r>
      <w:r>
        <w:t xml:space="preserve">This invoice covers the professional services rendered by our Civil Engineers as detailed above. Any variations to the scope must be agreed upon in writing prior to commencement.</w:t>
      </w:r>
      <w:r>
        <w:br/>
      </w:r>
      <w:r>
        <w:t xml:space="preserve">4.</w:t>
      </w:r>
      <w:r>
        <w:t xml:space="preserve"> </w:t>
      </w:r>
      <w:r>
        <w:rPr>
          <w:bCs/>
          <w:b/>
        </w:rPr>
        <w:t xml:space="preserve">Compliance:</w:t>
      </w:r>
      <w:r>
        <w:t xml:space="preserve"> </w:t>
      </w:r>
      <w:r>
        <w:t xml:space="preserve">All engineering designs and reports provided are compliant with current Australian Standards and Victorian Building Regulations.</w:t>
      </w:r>
      <w:r>
        <w:br/>
      </w:r>
      <w:r>
        <w:t xml:space="preserve">5.</w:t>
      </w:r>
      <w:r>
        <w:t xml:space="preserve"> </w:t>
      </w:r>
      <w:r>
        <w:rPr>
          <w:bCs/>
          <w:b/>
        </w:rPr>
        <w:t xml:space="preserve">Late Fees:</w:t>
      </w:r>
      <w:r>
        <w:t xml:space="preserve"> </w:t>
      </w:r>
      <w:r>
        <w:t xml:space="preserve">A late payment fee of 1.5% per month will be applied to overdue balances.</w:t>
      </w:r>
    </w:p>
    <w:bookmarkEnd w:id="24"/>
    <w:p>
      <w:pPr>
        <w:pStyle w:val="BodyText"/>
      </w:pPr>
      <w:r>
        <w:t xml:space="preserve">Thank you for your business. Melbourne Structural &amp; Civil Solutions is committed to delivering high-quality engineering services across Australia Melbourne and the greater Victoria region.</w:t>
      </w:r>
      <w:r>
        <w:br/>
      </w:r>
      <w:r>
        <w:t xml:space="preserve">This is a computer-generated Tax Invoice.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Civil Engineering Invoice - Melbourne, Australia</dc:title>
  <dc:creator/>
  <dc:language>en</dc:language>
  <cp:keywords/>
  <dcterms:created xsi:type="dcterms:W3CDTF">2026-10-10T02:14:11Z</dcterms:created>
  <dcterms:modified xsi:type="dcterms:W3CDTF">2026-10-10T02:14:11Z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