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Civil</w:t>
      </w:r>
      <w:r>
        <w:t xml:space="preserve"> </w:t>
      </w:r>
      <w:r>
        <w:t xml:space="preserve">Engineering</w:t>
      </w:r>
      <w:r>
        <w:t xml:space="preserve"> </w:t>
      </w:r>
      <w:r>
        <w:t xml:space="preserve">Invoice</w:t>
      </w:r>
      <w:r>
        <w:t xml:space="preserve"> </w:t>
      </w:r>
      <w:r>
        <w:t xml:space="preserve">-</w:t>
      </w:r>
      <w:r>
        <w:t xml:space="preserve"> </w:t>
      </w:r>
      <w:r>
        <w:t xml:space="preserve">Tehran,</w:t>
      </w:r>
      <w:r>
        <w:t xml:space="preserve"> </w:t>
      </w:r>
      <w:r>
        <w:t xml:space="preserve">Iran</w:t>
      </w:r>
    </w:p>
    <w:bookmarkStart w:id="20" w:name="tehran-civil-engineering-solutions"/>
    <w:p>
      <w:pPr>
        <w:pStyle w:val="Heading1"/>
      </w:pPr>
      <w:r>
        <w:t xml:space="preserve">TEHRAN CIVIL ENGINEERING SOLUTIONS</w:t>
      </w:r>
    </w:p>
    <w:p>
      <w:pPr>
        <w:pStyle w:val="FirstParagraph"/>
      </w:pPr>
      <w:r>
        <w:rPr>
          <w:bCs/>
          <w:b/>
        </w:rPr>
        <w:t xml:space="preserve">License No:</w:t>
      </w:r>
      <w:r>
        <w:t xml:space="preserve"> </w:t>
      </w:r>
      <w:r>
        <w:t xml:space="preserve">88421-IC (Iranian Civil Engineering Association)</w:t>
      </w:r>
    </w:p>
    <w:p>
      <w:pPr>
        <w:pStyle w:val="BodyText"/>
      </w:pPr>
      <w:r>
        <w:rPr>
          <w:bCs/>
          <w:b/>
        </w:rPr>
        <w:t xml:space="preserve">Address:</w:t>
      </w:r>
      <w:r>
        <w:t xml:space="preserve"> </w:t>
      </w:r>
      <w:r>
        <w:t xml:space="preserve">No. 45, Valiasr Street, District 6, Tehran, Iran</w:t>
      </w:r>
    </w:p>
    <w:p>
      <w:pPr>
        <w:pStyle w:val="BodyText"/>
      </w:pPr>
      <w:r>
        <w:rPr>
          <w:bCs/>
          <w:b/>
        </w:rPr>
        <w:t xml:space="preserve">Phone:</w:t>
      </w:r>
      <w:r>
        <w:t xml:space="preserve"> </w:t>
      </w:r>
      <w:r>
        <w:t xml:space="preserve">+98 21 2200 5500</w:t>
      </w:r>
    </w:p>
    <w:p>
      <w:pPr>
        <w:pStyle w:val="BodyText"/>
      </w:pPr>
      <w:r>
        <w:rPr>
          <w:bCs/>
          <w:b/>
        </w:rPr>
        <w:t xml:space="preserve">Email:</w:t>
      </w:r>
      <w:r>
        <w:t xml:space="preserve"> </w:t>
      </w:r>
      <w:r>
        <w:t xml:space="preserve">billing@tehrancivileng.ir</w:t>
      </w:r>
    </w:p>
    <w:p>
      <w:pPr>
        <w:pStyle w:val="BodyText"/>
      </w:pPr>
      <w:r>
        <w:rPr>
          <w:bCs/>
          <w:b/>
        </w:rPr>
        <w:t xml:space="preserve">Bank:</w:t>
      </w:r>
      <w:r>
        <w:t xml:space="preserve"> </w:t>
      </w:r>
      <w:r>
        <w:t xml:space="preserve">Bank Melli Iran - Branch: Enghelab</w:t>
      </w:r>
    </w:p>
    <w:bookmarkEnd w:id="20"/>
    <w:bookmarkStart w:id="21" w:name="invoice"/>
    <w:p>
      <w:pPr>
        <w:pStyle w:val="Heading2"/>
      </w:pPr>
      <w:r>
        <w:t xml:space="preserve">INVOICE</w:t>
      </w:r>
    </w:p>
    <w:p>
      <w:pPr>
        <w:pStyle w:val="FirstParagraph"/>
      </w:pPr>
      <w:r>
        <w:t xml:space="preserve">Professional Services</w:t>
      </w:r>
    </w:p>
    <w:bookmarkEnd w:id="21"/>
    <w:bookmarkStart w:id="22" w:name="bill-to"/>
    <w:p>
      <w:pPr>
        <w:pStyle w:val="Heading3"/>
      </w:pPr>
      <w:r>
        <w:t xml:space="preserve">Bill To:</w:t>
      </w:r>
    </w:p>
    <w:p>
      <w:pPr>
        <w:pStyle w:val="FirstParagraph"/>
      </w:pPr>
      <w:r>
        <w:rPr>
          <w:bCs/>
          <w:b/>
        </w:rPr>
        <w:t xml:space="preserve">Client Name:</w:t>
      </w:r>
      <w:r>
        <w:t xml:space="preserve"> </w:t>
      </w:r>
      <w:r>
        <w:t xml:space="preserve">Azadi Tower Construction Group</w:t>
      </w:r>
    </w:p>
    <w:p>
      <w:pPr>
        <w:pStyle w:val="BodyText"/>
      </w:pPr>
      <w:r>
        <w:rPr>
          <w:bCs/>
          <w:b/>
        </w:rPr>
        <w:t xml:space="preserve">Project:</w:t>
      </w:r>
      <w:r>
        <w:t xml:space="preserve"> </w:t>
      </w:r>
      <w:r>
        <w:t xml:space="preserve">High-Rise Residential Complex Phase II</w:t>
      </w:r>
    </w:p>
    <w:p>
      <w:pPr>
        <w:pStyle w:val="BodyText"/>
      </w:pPr>
      <w:r>
        <w:rPr>
          <w:bCs/>
          <w:b/>
        </w:rPr>
        <w:t xml:space="preserve">Address:</w:t>
      </w:r>
      <w:r>
        <w:t xml:space="preserve"> </w:t>
      </w:r>
      <w:r>
        <w:t xml:space="preserve">No. 12, Shahrak-e Gharb Blvd, Tehran, Iran</w:t>
      </w:r>
    </w:p>
    <w:p>
      <w:pPr>
        <w:pStyle w:val="BodyText"/>
      </w:pPr>
      <w:r>
        <w:rPr>
          <w:bCs/>
          <w:b/>
        </w:rPr>
        <w:t xml:space="preserve">Contact Person:</w:t>
      </w:r>
      <w:r>
        <w:t xml:space="preserve"> </w:t>
      </w:r>
      <w:r>
        <w:t xml:space="preserve">Mr. Reza Ahmadi</w:t>
      </w:r>
    </w:p>
    <w:p>
      <w:pPr>
        <w:pStyle w:val="BodyText"/>
      </w:pPr>
      <w:r>
        <w:rPr>
          <w:bCs/>
          <w:b/>
        </w:rPr>
        <w:t xml:space="preserve">Email:</w:t>
      </w:r>
      <w:r>
        <w:t xml:space="preserve"> </w:t>
      </w:r>
      <w:r>
        <w:t xml:space="preserve">r.ahmadi@azadiconstruction.ir</w:t>
      </w:r>
    </w:p>
    <w:bookmarkEnd w:id="22"/>
    <w:p>
      <w:pPr>
        <w:pStyle w:val="BodyText"/>
      </w:pPr>
      <w:r>
        <w:t xml:space="preserve">Invoice Number:</w:t>
      </w:r>
      <w:r>
        <w:t xml:space="preserve"> </w:t>
      </w:r>
      <w:r>
        <w:t xml:space="preserve">INV-2023-TEH-089</w:t>
      </w:r>
    </w:p>
    <w:p>
      <w:pPr>
        <w:pStyle w:val="BodyText"/>
      </w:pPr>
      <w:r>
        <w:t xml:space="preserve">Date of Issue:</w:t>
      </w:r>
      <w:r>
        <w:t xml:space="preserve"> </w:t>
      </w:r>
      <w:r>
        <w:t xml:space="preserve">October 24, 2023</w:t>
      </w:r>
    </w:p>
    <w:p>
      <w:pPr>
        <w:pStyle w:val="BodyText"/>
      </w:pPr>
      <w:r>
        <w:t xml:space="preserve">Due Date:</w:t>
      </w:r>
      <w:r>
        <w:t xml:space="preserve"> </w:t>
      </w:r>
      <w:r>
        <w:t xml:space="preserve">November 24, 2023</w:t>
      </w:r>
    </w:p>
    <w:p>
      <w:pPr>
        <w:pStyle w:val="BodyText"/>
      </w:pPr>
      <w:r>
        <w:t xml:space="preserve">Currency:</w:t>
      </w:r>
      <w:r>
        <w:t xml:space="preserve"> </w:t>
      </w:r>
      <w:r>
        <w:t xml:space="preserve">Iranian Rial (IRR)</w:t>
      </w:r>
    </w:p>
    <w:p>
      <w:pPr>
        <w:pStyle w:val="BodyText"/>
      </w:pPr>
      <w:r>
        <w:t xml:space="preserve">Dear Valued Client,</w:t>
      </w:r>
      <w:r>
        <w:br/>
      </w:r>
      <w:r>
        <w:br/>
      </w:r>
      <w:r>
        <w:t xml:space="preserve">This invoice represents the professional fees for civil engineering services rendered by our firm, Tehran Civil Engineering Solutions, for the specified project located in Tehran, Iran. Our team of licensed Civil Engineers has provided comprehensive structural analysis, site supervision, and regulatory compliance documentation in accordance with the National Building Regulations of Iran (Mabhas 9). The following breakdown details the specific engineering tasks completed during this billing period.</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 of Services</w:t>
            </w:r>
          </w:p>
        </w:tc>
        <w:tc>
          <w:tcPr/>
          <w:p>
            <w:pPr>
              <w:pStyle w:val="Compact"/>
              <w:jc w:val="left"/>
            </w:pPr>
            <w:r>
              <w:t xml:space="preserve">Quantity / Hours</w:t>
            </w:r>
          </w:p>
        </w:tc>
        <w:tc>
          <w:tcPr/>
          <w:p>
            <w:pPr>
              <w:pStyle w:val="Compact"/>
              <w:jc w:val="left"/>
            </w:pPr>
            <w:r>
              <w:t xml:space="preserve">Unit Rate (IRR)</w:t>
            </w:r>
          </w:p>
        </w:tc>
        <w:tc>
          <w:tcPr/>
          <w:p>
            <w:pPr>
              <w:pStyle w:val="Compact"/>
              <w:jc w:val="left"/>
            </w:pPr>
            <w:r>
              <w:t xml:space="preserve">Total Amount (IRR)</w:t>
            </w:r>
          </w:p>
        </w:tc>
      </w:tr>
      <w:tr>
        <w:tc>
          <w:tcPr/>
          <w:p>
            <w:pPr>
              <w:pStyle w:val="Compact"/>
              <w:jc w:val="left"/>
            </w:pPr>
            <w:r>
              <w:rPr>
                <w:bCs/>
                <w:b/>
              </w:rPr>
              <w:t xml:space="preserve">Structural Design &amp; Analysis:</w:t>
            </w:r>
            <w:r>
              <w:t xml:space="preserve"> </w:t>
            </w:r>
            <w:r>
              <w:t xml:space="preserve">Detailed calculation and design of reinforced concrete frames for floors 1-10. Includes load analysis specific to Tehran's seismic zone requirements.</w:t>
            </w:r>
          </w:p>
        </w:tc>
        <w:tc>
          <w:tcPr/>
          <w:p>
            <w:pPr>
              <w:pStyle w:val="Compact"/>
              <w:jc w:val="left"/>
            </w:pPr>
            <w:r>
              <w:t xml:space="preserve">1</w:t>
            </w:r>
          </w:p>
        </w:tc>
        <w:tc>
          <w:tcPr/>
          <w:p>
            <w:pPr>
              <w:pStyle w:val="Compact"/>
              <w:jc w:val="left"/>
            </w:pPr>
            <w:r>
              <w:t xml:space="preserve">150,000,000</w:t>
            </w:r>
          </w:p>
        </w:tc>
        <w:tc>
          <w:tcPr/>
          <w:p>
            <w:pPr>
              <w:pStyle w:val="Compact"/>
              <w:jc w:val="left"/>
            </w:pPr>
            <w:r>
              <w:t xml:space="preserve">150,000,000</w:t>
            </w:r>
          </w:p>
        </w:tc>
      </w:tr>
      <w:tr>
        <w:tc>
          <w:tcPr/>
          <w:p>
            <w:pPr>
              <w:pStyle w:val="Compact"/>
              <w:jc w:val="left"/>
            </w:pPr>
            <w:r>
              <w:rPr>
                <w:bCs/>
                <w:b/>
              </w:rPr>
              <w:t xml:space="preserve">Site Supervision:</w:t>
            </w:r>
            <w:r>
              <w:t xml:space="preserve"> </w:t>
            </w:r>
            <w:r>
              <w:t xml:space="preserve">On-site monitoring by senior Civil Engineers to ensure construction aligns with approved blueprints and safety standards. Includes weekly progress reports.</w:t>
            </w:r>
          </w:p>
        </w:tc>
        <w:tc>
          <w:tcPr/>
          <w:p>
            <w:pPr>
              <w:pStyle w:val="Compact"/>
              <w:jc w:val="left"/>
            </w:pPr>
            <w:r>
              <w:t xml:space="preserve">40 Hours</w:t>
            </w:r>
          </w:p>
        </w:tc>
        <w:tc>
          <w:tcPr/>
          <w:p>
            <w:pPr>
              <w:pStyle w:val="Compact"/>
              <w:jc w:val="left"/>
            </w:pPr>
            <w:r>
              <w:t xml:space="preserve">2,500,000</w:t>
            </w:r>
          </w:p>
        </w:tc>
        <w:tc>
          <w:tcPr/>
          <w:p>
            <w:pPr>
              <w:pStyle w:val="Compact"/>
              <w:jc w:val="left"/>
            </w:pPr>
            <w:r>
              <w:t xml:space="preserve">100,000,000</w:t>
            </w:r>
          </w:p>
        </w:tc>
      </w:tr>
      <w:tr>
        <w:tc>
          <w:tcPr/>
          <w:p>
            <w:pPr>
              <w:pStyle w:val="Compact"/>
              <w:jc w:val="left"/>
            </w:pPr>
            <w:r>
              <w:rPr>
                <w:bCs/>
                <w:b/>
              </w:rPr>
              <w:t xml:space="preserve">Geotechnical Report Review:</w:t>
            </w:r>
            <w:r>
              <w:t xml:space="preserve"> </w:t>
            </w:r>
            <w:r>
              <w:t xml:space="preserve">Analysis of soil data from the Tehran basin to validate foundation depth and type. Consultation with geotechnical specialists.</w:t>
            </w:r>
          </w:p>
        </w:tc>
        <w:tc>
          <w:tcPr/>
          <w:p>
            <w:pPr>
              <w:pStyle w:val="Compact"/>
              <w:jc w:val="left"/>
            </w:pPr>
            <w:r>
              <w:t xml:space="preserve">1</w:t>
            </w:r>
          </w:p>
        </w:tc>
        <w:tc>
          <w:tcPr/>
          <w:p>
            <w:pPr>
              <w:pStyle w:val="Compact"/>
              <w:jc w:val="left"/>
            </w:pPr>
            <w:r>
              <w:t xml:space="preserve">45,000,000</w:t>
            </w:r>
          </w:p>
        </w:tc>
        <w:tc>
          <w:tcPr/>
          <w:p>
            <w:pPr>
              <w:pStyle w:val="Compact"/>
              <w:jc w:val="left"/>
            </w:pPr>
            <w:r>
              <w:t xml:space="preserve">45,000,000</w:t>
            </w:r>
          </w:p>
        </w:tc>
      </w:tr>
      <w:tr>
        <w:tc>
          <w:tcPr/>
          <w:p>
            <w:pPr>
              <w:pStyle w:val="Compact"/>
              <w:jc w:val="left"/>
            </w:pPr>
            <w:r>
              <w:rPr>
                <w:bCs/>
                <w:b/>
              </w:rPr>
              <w:t xml:space="preserve">Regulatory Permitting:</w:t>
            </w:r>
            <w:r>
              <w:t xml:space="preserve"> </w:t>
            </w:r>
            <w:r>
              <w:t xml:space="preserve">Preparation and submission of technical documents to the Tehran Municipality Engineering Department for building permit approval.</w:t>
            </w:r>
          </w:p>
        </w:tc>
        <w:tc>
          <w:tcPr/>
          <w:p>
            <w:pPr>
              <w:pStyle w:val="Compact"/>
              <w:jc w:val="left"/>
            </w:pPr>
            <w:r>
              <w:t xml:space="preserve">1</w:t>
            </w:r>
          </w:p>
        </w:tc>
        <w:tc>
          <w:tcPr/>
          <w:p>
            <w:pPr>
              <w:pStyle w:val="Compact"/>
              <w:jc w:val="left"/>
            </w:pPr>
            <w:r>
              <w:t xml:space="preserve">30,000,000</w:t>
            </w:r>
          </w:p>
        </w:tc>
        <w:tc>
          <w:tcPr/>
          <w:p>
            <w:pPr>
              <w:pStyle w:val="Compact"/>
              <w:jc w:val="left"/>
            </w:pPr>
            <w:r>
              <w:t xml:space="preserve">30,000,000</w:t>
            </w:r>
          </w:p>
        </w:tc>
      </w:tr>
      <w:tr>
        <w:tc>
          <w:tcPr/>
          <w:p>
            <w:pPr>
              <w:pStyle w:val="Compact"/>
              <w:jc w:val="left"/>
            </w:pPr>
            <w:r>
              <w:rPr>
                <w:bCs/>
                <w:b/>
              </w:rPr>
              <w:t xml:space="preserve">Material Testing Coordination:</w:t>
            </w:r>
            <w:r>
              <w:t xml:space="preserve"> </w:t>
            </w:r>
            <w:r>
              <w:t xml:space="preserve">Oversight of concrete slump tests and rebar tensile strength tests at certified labs in Tehran.</w:t>
            </w:r>
          </w:p>
        </w:tc>
        <w:tc>
          <w:tcPr/>
          <w:p>
            <w:pPr>
              <w:pStyle w:val="Compact"/>
              <w:jc w:val="left"/>
            </w:pPr>
            <w:r>
              <w:t xml:space="preserve">15 Tests</w:t>
            </w:r>
          </w:p>
        </w:tc>
        <w:tc>
          <w:tcPr/>
          <w:p>
            <w:pPr>
              <w:pStyle w:val="Compact"/>
              <w:jc w:val="left"/>
            </w:pPr>
            <w:r>
              <w:t xml:space="preserve">1,500,000</w:t>
            </w:r>
          </w:p>
        </w:tc>
        <w:tc>
          <w:tcPr/>
          <w:p>
            <w:pPr>
              <w:pStyle w:val="Compact"/>
              <w:jc w:val="left"/>
            </w:pPr>
            <w:r>
              <w:t xml:space="preserve">22,500,000</w:t>
            </w:r>
          </w:p>
        </w:tc>
      </w:tr>
    </w:tbl>
    <w:p>
      <w:pPr>
        <w:pStyle w:val="BodyText"/>
      </w:pPr>
      <w:r>
        <w:t xml:space="preserve">Subtotal:</w:t>
      </w:r>
      <w:r>
        <w:t xml:space="preserve"> </w:t>
      </w:r>
      <w:r>
        <w:t xml:space="preserve">347,500,000 IRR</w:t>
      </w:r>
    </w:p>
    <w:p>
      <w:pPr>
        <w:pStyle w:val="BodyText"/>
      </w:pPr>
      <w:r>
        <w:t xml:space="preserve">VAT (9%):</w:t>
      </w:r>
      <w:r>
        <w:t xml:space="preserve"> </w:t>
      </w:r>
      <w:r>
        <w:t xml:space="preserve">31,275,000 IRR</w:t>
      </w:r>
    </w:p>
    <w:p>
      <w:pPr>
        <w:pStyle w:val="BodyText"/>
      </w:pPr>
      <w:r>
        <w:t xml:space="preserve">Total Due:</w:t>
      </w:r>
      <w:r>
        <w:t xml:space="preserve"> </w:t>
      </w:r>
      <w:r>
        <w:t xml:space="preserve">378,775,000 IRR</w:t>
      </w:r>
    </w:p>
    <w:bookmarkStart w:id="23" w:name="terms-and-conditions"/>
    <w:p>
      <w:pPr>
        <w:pStyle w:val="Heading3"/>
      </w:pPr>
      <w:r>
        <w:t xml:space="preserve">Terms and Conditions:</w:t>
      </w:r>
    </w:p>
    <w:p>
      <w:pPr>
        <w:numPr>
          <w:ilvl w:val="0"/>
          <w:numId w:val="1001"/>
        </w:numPr>
        <w:pStyle w:val="Compact"/>
      </w:pPr>
      <w:r>
        <w:rPr>
          <w:bCs/>
          <w:b/>
        </w:rPr>
        <w:t xml:space="preserve">Payment Terms:</w:t>
      </w:r>
      <w:r>
        <w:t xml:space="preserve"> </w:t>
      </w:r>
      <w:r>
        <w:t xml:space="preserve">Payment is due within 30 days of the invoice date. Late payments may incur a penalty fee as per Iranian commercial law.</w:t>
      </w:r>
    </w:p>
    <w:p>
      <w:pPr>
        <w:numPr>
          <w:ilvl w:val="0"/>
          <w:numId w:val="1001"/>
        </w:numPr>
        <w:pStyle w:val="Compact"/>
      </w:pPr>
      <w:r>
        <w:rPr>
          <w:bCs/>
          <w:b/>
        </w:rPr>
        <w:t xml:space="preserve">Bank Transfer:</w:t>
      </w:r>
      <w:r>
        <w:t xml:space="preserve"> </w:t>
      </w:r>
      <w:r>
        <w:t xml:space="preserve">Please transfer funds to our account at Bank Melli Iran. Reference the Invoice Number (INV-2023-TEH-089) in the transfer description.</w:t>
      </w:r>
    </w:p>
    <w:p>
      <w:pPr>
        <w:numPr>
          <w:ilvl w:val="0"/>
          <w:numId w:val="1001"/>
        </w:numPr>
        <w:pStyle w:val="Compact"/>
      </w:pPr>
      <w:r>
        <w:rPr>
          <w:bCs/>
          <w:b/>
        </w:rPr>
        <w:t xml:space="preserve">Scope of Work:</w:t>
      </w:r>
      <w:r>
        <w:t xml:space="preserve"> </w:t>
      </w:r>
      <w:r>
        <w:t xml:space="preserve">This invoice covers only the services listed above. Any additional requests for design changes or extra site visits will be billed separately.</w:t>
      </w:r>
    </w:p>
    <w:p>
      <w:pPr>
        <w:numPr>
          <w:ilvl w:val="0"/>
          <w:numId w:val="1001"/>
        </w:numPr>
        <w:pStyle w:val="Compact"/>
      </w:pPr>
      <w:r>
        <w:rPr>
          <w:bCs/>
          <w:b/>
        </w:rPr>
        <w:t xml:space="preserve">Validity:</w:t>
      </w:r>
      <w:r>
        <w:t xml:space="preserve"> </w:t>
      </w:r>
      <w:r>
        <w:t xml:space="preserve">This invoice is valid for 60 days from the date of issue.</w:t>
      </w:r>
    </w:p>
    <w:p>
      <w:pPr>
        <w:numPr>
          <w:ilvl w:val="0"/>
          <w:numId w:val="1001"/>
        </w:numPr>
        <w:pStyle w:val="Compact"/>
      </w:pPr>
      <w:r>
        <w:rPr>
          <w:bCs/>
          <w:b/>
        </w:rPr>
        <w:t xml:space="preserve">Disputes:</w:t>
      </w:r>
      <w:r>
        <w:t xml:space="preserve"> </w:t>
      </w:r>
      <w:r>
        <w:t xml:space="preserve">Any discrepancies regarding this invoice should be reported to our office in Tehran within 7 days of receipt.</w:t>
      </w:r>
    </w:p>
    <w:p>
      <w:pPr>
        <w:pStyle w:val="FirstParagraph"/>
      </w:pPr>
      <w:r>
        <w:t xml:space="preserve">We appreciate your business and trust in our Civil Engineering expertise. Our commitment is to deliver high-quality, safe, and compliant engineering solutions for your projects in Iran.</w:t>
      </w:r>
    </w:p>
    <w:bookmarkEnd w:id="23"/>
    <w:p>
      <w:pPr>
        <w:pStyle w:val="BodyText"/>
      </w:pPr>
      <w:r>
        <w:rPr>
          <w:bCs/>
          <w:b/>
        </w:rPr>
        <w:t xml:space="preserve">Authorized Signature</w:t>
      </w:r>
    </w:p>
    <w:p>
      <w:pPr>
        <w:pStyle w:val="BodyText"/>
      </w:pPr>
      <w:r>
        <w:t xml:space="preserve">Dr. Ali Rezaei</w:t>
      </w:r>
    </w:p>
    <w:p>
      <w:pPr>
        <w:pStyle w:val="BodyText"/>
      </w:pPr>
      <w:r>
        <w:t xml:space="preserve">Chief Civil Engineer</w:t>
      </w:r>
    </w:p>
    <w:p>
      <w:pPr>
        <w:pStyle w:val="BodyText"/>
      </w:pPr>
      <w:r>
        <w:rPr>
          <w:bCs/>
          <w:b/>
        </w:rPr>
        <w:t xml:space="preserve">Client Acceptance</w:t>
      </w:r>
    </w:p>
    <w:p>
      <w:pPr>
        <w:pStyle w:val="BodyText"/>
      </w:pPr>
      <w:r>
        <w:t xml:space="preserve">________________________</w:t>
      </w:r>
    </w:p>
    <w:p>
      <w:pPr>
        <w:pStyle w:val="BodyText"/>
      </w:pPr>
      <w:r>
        <w:t xml:space="preserve">Date: 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Civil Engineering Invoice - Tehran, Iran</dc:title>
  <dc:creator/>
  <dc:language>en</dc:language>
  <cp:keywords/>
  <dcterms:created xsi:type="dcterms:W3CDTF">2026-10-10T03:28:49Z</dcterms:created>
  <dcterms:modified xsi:type="dcterms:W3CDTF">2026-10-10T03:28:49Z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