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Civil</w:t>
      </w:r>
      <w:r>
        <w:t xml:space="preserve"> </w:t>
      </w:r>
      <w:r>
        <w:t xml:space="preserve">Engineering</w:t>
      </w:r>
      <w:r>
        <w:t xml:space="preserve"> </w:t>
      </w:r>
      <w:r>
        <w:t xml:space="preserve">Invoice</w:t>
      </w:r>
      <w:r>
        <w:t xml:space="preserve"> </w:t>
      </w:r>
      <w:r>
        <w:t xml:space="preserve">-</w:t>
      </w:r>
      <w:r>
        <w:t xml:space="preserve"> </w:t>
      </w:r>
      <w:r>
        <w:t xml:space="preserve">Tel</w:t>
      </w:r>
      <w:r>
        <w:t xml:space="preserve"> </w:t>
      </w:r>
      <w:r>
        <w:t xml:space="preserve">Aviv,</w:t>
      </w:r>
      <w:r>
        <w:t xml:space="preserve"> </w:t>
      </w:r>
      <w:r>
        <w:t xml:space="preserve">Israel</w:t>
      </w:r>
    </w:p>
    <w:bookmarkStart w:id="20" w:name="negev-civil-engineering-solutions-ltd."/>
    <w:p>
      <w:pPr>
        <w:pStyle w:val="Heading2"/>
      </w:pPr>
      <w:r>
        <w:t xml:space="preserve">Negev Civil Engineering Solutions Ltd.</w:t>
      </w:r>
    </w:p>
    <w:p>
      <w:pPr>
        <w:pStyle w:val="FirstParagraph"/>
      </w:pPr>
      <w:r>
        <w:t xml:space="preserve">12 HaYarkon Street</w:t>
      </w:r>
      <w:r>
        <w:br/>
      </w:r>
      <w:r>
        <w:t xml:space="preserve">Tel Aviv-Yafo, Israel</w:t>
      </w:r>
      <w:r>
        <w:br/>
      </w:r>
      <w:r>
        <w:t xml:space="preserve">VAT ID: 512345678</w:t>
      </w:r>
      <w:r>
        <w:br/>
      </w:r>
      <w:r>
        <w:t xml:space="preserve">Phone: +972-3-555-1234</w:t>
      </w:r>
      <w:r>
        <w:br/>
      </w:r>
      <w:r>
        <w:t xml:space="preserve">Email: billing@negevcivil.co.il</w:t>
      </w:r>
    </w:p>
    <w:bookmarkEnd w:id="20"/>
    <w:p>
      <w:pPr>
        <w:pStyle w:val="BodyText"/>
      </w:pPr>
      <w:r>
        <w:t xml:space="preserve">INVOICE</w:t>
      </w:r>
    </w:p>
    <w:p>
      <w:pPr>
        <w:pStyle w:val="BodyText"/>
      </w:pPr>
      <w:r>
        <w:t xml:space="preserve">Invoice Number: INV-2024-089</w:t>
      </w:r>
      <w:r>
        <w:br/>
      </w:r>
      <w:r>
        <w:t xml:space="preserve">Date Issued: October 15, 2024</w:t>
      </w:r>
      <w:r>
        <w:br/>
      </w:r>
      <w:r>
        <w:t xml:space="preserve">Due Date: November 15, 2024</w:t>
      </w:r>
      <w:r>
        <w:br/>
      </w:r>
      <w:r>
        <w:t xml:space="preserve">Project Reference: Tel Aviv Coastal Infrastructure Upgrade</w:t>
      </w:r>
    </w:p>
    <w:bookmarkStart w:id="21" w:name="billed-to"/>
    <w:p>
      <w:pPr>
        <w:pStyle w:val="Heading3"/>
      </w:pPr>
      <w:r>
        <w:t xml:space="preserve">Billed To:</w:t>
      </w:r>
    </w:p>
    <w:p>
      <w:pPr>
        <w:pStyle w:val="FirstParagraph"/>
      </w:pPr>
      <w:r>
        <w:t xml:space="preserve">Tel Aviv Municipality - Department of Infrastructure</w:t>
      </w:r>
      <w:r>
        <w:br/>
      </w:r>
      <w:r>
        <w:t xml:space="preserve">Attn: Procurement Division</w:t>
      </w:r>
      <w:r>
        <w:br/>
      </w:r>
      <w:r>
        <w:t xml:space="preserve">1 Rothschild Boulevard</w:t>
      </w:r>
      <w:r>
        <w:br/>
      </w:r>
      <w:r>
        <w:t xml:space="preserve">Tel Aviv-Yafo, Israel</w:t>
      </w:r>
      <w:r>
        <w:br/>
      </w:r>
      <w:r>
        <w:t xml:space="preserve">VAT ID: 509876543</w:t>
      </w:r>
    </w:p>
    <w:bookmarkEnd w:id="21"/>
    <w:bookmarkStart w:id="22" w:name="project-description"/>
    <w:p>
      <w:pPr>
        <w:pStyle w:val="Heading3"/>
      </w:pPr>
      <w:r>
        <w:t xml:space="preserve">Project Description:</w:t>
      </w:r>
    </w:p>
    <w:p>
      <w:pPr>
        <w:pStyle w:val="FirstParagraph"/>
      </w:pPr>
      <w:r>
        <w:t xml:space="preserve">This invoice pertains to professional civil engineering services rendered by Negev Civil Engineering Solutions Ltd. for the Tel Aviv Coastal Infrastructure Upgrade project. The scope of work includes structural analysis, site surveys, drainage system design, and compliance verification with Israeli building standards and Tel Aviv municipal regulations. All services were performed in accordance with the contract signed on June 1, 2024, and adhere to the technical specifications required for urban development in Tel Aviv, Israel.</w:t>
      </w:r>
    </w:p>
    <w:bookmarkEnd w:id="22"/>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Description of Services</w:t>
            </w:r>
          </w:p>
        </w:tc>
        <w:tc>
          <w:tcPr/>
          <w:p>
            <w:pPr>
              <w:pStyle w:val="Compact"/>
              <w:jc w:val="left"/>
            </w:pPr>
            <w:r>
              <w:t xml:space="preserve">Quantity</w:t>
            </w:r>
          </w:p>
        </w:tc>
        <w:tc>
          <w:tcPr/>
          <w:p>
            <w:pPr>
              <w:pStyle w:val="Compact"/>
              <w:jc w:val="left"/>
            </w:pPr>
            <w:r>
              <w:t xml:space="preserve">Unit Price (ILS)</w:t>
            </w:r>
          </w:p>
        </w:tc>
        <w:tc>
          <w:tcPr/>
          <w:p>
            <w:pPr>
              <w:pStyle w:val="Compact"/>
              <w:jc w:val="left"/>
            </w:pPr>
            <w:r>
              <w:t xml:space="preserve">Total (ILS)</w:t>
            </w:r>
          </w:p>
        </w:tc>
      </w:tr>
      <w:tr>
        <w:tc>
          <w:tcPr/>
          <w:p>
            <w:pPr>
              <w:pStyle w:val="Compact"/>
              <w:jc w:val="left"/>
            </w:pPr>
            <w:r>
              <w:t xml:space="preserve">Site Survey and Geotechnical Analysis</w:t>
            </w:r>
          </w:p>
        </w:tc>
        <w:tc>
          <w:tcPr/>
          <w:p>
            <w:pPr>
              <w:pStyle w:val="Compact"/>
              <w:jc w:val="left"/>
            </w:pPr>
            <w:r>
              <w:t xml:space="preserve">1</w:t>
            </w:r>
          </w:p>
        </w:tc>
        <w:tc>
          <w:tcPr/>
          <w:p>
            <w:pPr>
              <w:pStyle w:val="Compact"/>
              <w:jc w:val="left"/>
            </w:pPr>
            <w:r>
              <w:t xml:space="preserve">15,000.00</w:t>
            </w:r>
          </w:p>
        </w:tc>
        <w:tc>
          <w:tcPr/>
          <w:p>
            <w:pPr>
              <w:pStyle w:val="Compact"/>
              <w:jc w:val="left"/>
            </w:pPr>
            <w:r>
              <w:t xml:space="preserve">15,000.00</w:t>
            </w:r>
          </w:p>
        </w:tc>
      </w:tr>
      <w:tr>
        <w:tc>
          <w:tcPr/>
          <w:p>
            <w:pPr>
              <w:pStyle w:val="Compact"/>
              <w:jc w:val="left"/>
            </w:pPr>
            <w:r>
              <w:t xml:space="preserve">Structural Design and Load Calculations</w:t>
            </w:r>
          </w:p>
        </w:tc>
        <w:tc>
          <w:tcPr/>
          <w:p>
            <w:pPr>
              <w:pStyle w:val="Compact"/>
              <w:jc w:val="left"/>
            </w:pPr>
            <w:r>
              <w:t xml:space="preserve">1</w:t>
            </w:r>
          </w:p>
        </w:tc>
        <w:tc>
          <w:tcPr/>
          <w:p>
            <w:pPr>
              <w:pStyle w:val="Compact"/>
              <w:jc w:val="left"/>
            </w:pPr>
            <w:r>
              <w:t xml:space="preserve">25,000.00</w:t>
            </w:r>
          </w:p>
        </w:tc>
        <w:tc>
          <w:tcPr/>
          <w:p>
            <w:pPr>
              <w:pStyle w:val="Compact"/>
              <w:jc w:val="left"/>
            </w:pPr>
            <w:r>
              <w:t xml:space="preserve">25,000.00</w:t>
            </w:r>
          </w:p>
        </w:tc>
      </w:tr>
      <w:tr>
        <w:tc>
          <w:tcPr/>
          <w:p>
            <w:pPr>
              <w:pStyle w:val="Compact"/>
              <w:jc w:val="left"/>
            </w:pPr>
            <w:r>
              <w:t xml:space="preserve">Drainage and Stormwater Management Plan</w:t>
            </w:r>
          </w:p>
        </w:tc>
        <w:tc>
          <w:tcPr/>
          <w:p>
            <w:pPr>
              <w:pStyle w:val="Compact"/>
              <w:jc w:val="left"/>
            </w:pPr>
            <w:r>
              <w:t xml:space="preserve">1</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Compliance Review with Israeli Building Code</w:t>
            </w:r>
          </w:p>
        </w:tc>
        <w:tc>
          <w:tcPr/>
          <w:p>
            <w:pPr>
              <w:pStyle w:val="Compact"/>
              <w:jc w:val="left"/>
            </w:pPr>
            <w:r>
              <w:t xml:space="preserve">1</w:t>
            </w:r>
          </w:p>
        </w:tc>
        <w:tc>
          <w:tcPr/>
          <w:p>
            <w:pPr>
              <w:pStyle w:val="Compact"/>
              <w:jc w:val="left"/>
            </w:pPr>
            <w:r>
              <w:t xml:space="preserve">8,000.00</w:t>
            </w:r>
          </w:p>
        </w:tc>
        <w:tc>
          <w:tcPr/>
          <w:p>
            <w:pPr>
              <w:pStyle w:val="Compact"/>
              <w:jc w:val="left"/>
            </w:pPr>
            <w:r>
              <w:t xml:space="preserve">8,000.00</w:t>
            </w:r>
          </w:p>
        </w:tc>
      </w:tr>
      <w:tr>
        <w:tc>
          <w:tcPr/>
          <w:p>
            <w:pPr>
              <w:pStyle w:val="Compact"/>
              <w:jc w:val="left"/>
            </w:pPr>
            <w:r>
              <w:t xml:space="preserve">Project Management and Coordination</w:t>
            </w:r>
          </w:p>
        </w:tc>
        <w:tc>
          <w:tcPr/>
          <w:p>
            <w:pPr>
              <w:pStyle w:val="Compact"/>
              <w:jc w:val="left"/>
            </w:pPr>
            <w:r>
              <w:t xml:space="preserve">40 hours</w:t>
            </w:r>
          </w:p>
        </w:tc>
        <w:tc>
          <w:tcPr/>
          <w:p>
            <w:pPr>
              <w:pStyle w:val="Compact"/>
              <w:jc w:val="left"/>
            </w:pPr>
            <w:r>
              <w:t xml:space="preserve">350.00</w:t>
            </w:r>
          </w:p>
        </w:tc>
        <w:tc>
          <w:tcPr/>
          <w:p>
            <w:pPr>
              <w:pStyle w:val="Compact"/>
              <w:jc w:val="left"/>
            </w:pPr>
            <w:r>
              <w:t xml:space="preserve">14,000.00</w:t>
            </w:r>
          </w:p>
        </w:tc>
      </w:tr>
      <w:tr>
        <w:tc>
          <w:tcPr/>
          <w:p>
            <w:pPr>
              <w:pStyle w:val="Compact"/>
              <w:jc w:val="left"/>
            </w:pPr>
            <w:r>
              <w:t xml:space="preserve">Environmental Impact Assessment Support</w:t>
            </w:r>
          </w:p>
        </w:tc>
        <w:tc>
          <w:tcPr/>
          <w:p>
            <w:pPr>
              <w:pStyle w:val="Compact"/>
              <w:jc w:val="left"/>
            </w:pPr>
            <w:r>
              <w:t xml:space="preserve">1</w:t>
            </w:r>
          </w:p>
        </w:tc>
        <w:tc>
          <w:tcPr/>
          <w:p>
            <w:pPr>
              <w:pStyle w:val="Compact"/>
              <w:jc w:val="left"/>
            </w:pPr>
            <w:r>
              <w:t xml:space="preserve">10,000.00</w:t>
            </w:r>
          </w:p>
        </w:tc>
        <w:tc>
          <w:tcPr/>
          <w:p>
            <w:pPr>
              <w:pStyle w:val="Compact"/>
              <w:jc w:val="left"/>
            </w:pPr>
            <w:r>
              <w:t xml:space="preserve">10,000.00</w:t>
            </w:r>
          </w:p>
        </w:tc>
      </w:tr>
      <w:tr>
        <w:tc>
          <w:tcPr>
            <w:gridSpan w:val="3"/>
          </w:tcPr>
          <w:p>
            <w:pPr>
              <w:pStyle w:val="Compact"/>
              <w:jc w:val="left"/>
            </w:pPr>
            <w:r>
              <w:t xml:space="preserve">Subtotal</w:t>
            </w:r>
          </w:p>
        </w:tc>
        <w:tc>
          <w:tcPr/>
          <w:p>
            <w:pPr>
              <w:pStyle w:val="Compact"/>
              <w:jc w:val="left"/>
            </w:pPr>
            <w:r>
              <w:t xml:space="preserve">84,000.00</w:t>
            </w:r>
          </w:p>
        </w:tc>
      </w:tr>
      <w:tr>
        <w:tc>
          <w:tcPr>
            <w:gridSpan w:val="3"/>
          </w:tcPr>
          <w:p>
            <w:pPr>
              <w:pStyle w:val="Compact"/>
              <w:jc w:val="left"/>
            </w:pPr>
            <w:r>
              <w:t xml:space="preserve">VAT (17%)</w:t>
            </w:r>
          </w:p>
        </w:tc>
        <w:tc>
          <w:tcPr/>
          <w:p>
            <w:pPr>
              <w:pStyle w:val="Compact"/>
              <w:jc w:val="left"/>
            </w:pPr>
            <w:r>
              <w:t xml:space="preserve">14,280.00</w:t>
            </w:r>
          </w:p>
        </w:tc>
      </w:tr>
      <w:tr>
        <w:tc>
          <w:tcPr>
            <w:gridSpan w:val="3"/>
          </w:tcPr>
          <w:p>
            <w:pPr>
              <w:pStyle w:val="Compact"/>
              <w:jc w:val="left"/>
            </w:pPr>
            <w:r>
              <w:t xml:space="preserve">Total Amount Due (ILS)</w:t>
            </w:r>
          </w:p>
        </w:tc>
        <w:tc>
          <w:tcPr/>
          <w:p>
            <w:pPr>
              <w:pStyle w:val="Compact"/>
              <w:jc w:val="left"/>
            </w:pPr>
            <w:r>
              <w:t xml:space="preserve">98,280.00</w:t>
            </w:r>
          </w:p>
        </w:tc>
      </w:tr>
    </w:tbl>
    <w:bookmarkStart w:id="23" w:name="payment-terms"/>
    <w:p>
      <w:pPr>
        <w:pStyle w:val="Heading3"/>
      </w:pPr>
      <w:r>
        <w:t xml:space="preserve">Payment Terms:</w:t>
      </w:r>
    </w:p>
    <w:p>
      <w:pPr>
        <w:pStyle w:val="FirstParagraph"/>
      </w:pPr>
      <w:r>
        <w:t xml:space="preserve">Payment is due within 30 days from the date of this invoice. Please remit payment via bank transfer to the following account:</w:t>
      </w:r>
    </w:p>
    <w:p>
      <w:pPr>
        <w:pStyle w:val="BodyText"/>
      </w:pPr>
      <w:r>
        <w:t xml:space="preserve">Bank Name: Bank Hapoalim</w:t>
      </w:r>
      <w:r>
        <w:br/>
      </w:r>
      <w:r>
        <w:t xml:space="preserve">Branch: Tel Aviv Central</w:t>
      </w:r>
      <w:r>
        <w:br/>
      </w:r>
      <w:r>
        <w:t xml:space="preserve">Account Name: Negev Civil Engineering Solutions Ltd.</w:t>
      </w:r>
      <w:r>
        <w:br/>
      </w:r>
      <w:r>
        <w:t xml:space="preserve">Account Number: 999-888-777</w:t>
      </w:r>
      <w:r>
        <w:br/>
      </w:r>
      <w:r>
        <w:t xml:space="preserve">SWIFT Code: HAPoilmm</w:t>
      </w:r>
    </w:p>
    <w:p>
      <w:pPr>
        <w:pStyle w:val="BodyText"/>
      </w:pPr>
      <w:r>
        <w:t xml:space="preserve">Late payments will incur a penalty of 1.5% per month on the outstanding balance, in accordance with Israeli commercial law.</w:t>
      </w:r>
    </w:p>
    <w:bookmarkEnd w:id="23"/>
    <w:bookmarkStart w:id="24" w:name="additional-notes"/>
    <w:p>
      <w:pPr>
        <w:pStyle w:val="Heading3"/>
      </w:pPr>
      <w:r>
        <w:t xml:space="preserve">Additional Notes:</w:t>
      </w:r>
    </w:p>
    <w:p>
      <w:pPr>
        <w:pStyle w:val="FirstParagraph"/>
      </w:pPr>
      <w:r>
        <w:t xml:space="preserve">This invoice reflects the professional services provided by a licensed Civil Engineer operating under the regulations of the Israeli Society of Civil Engineers. All designs and calculations comply with the National Building Code of Israel and the specific urban planning requirements of Tel Aviv-Yafo. Should you have any questions regarding this invoice or the services rendered, please contact our billing department at the address or phone number listed above.</w:t>
      </w:r>
    </w:p>
    <w:p>
      <w:pPr>
        <w:pStyle w:val="BodyText"/>
      </w:pPr>
      <w:r>
        <w:t xml:space="preserve">We appreciate your continued partnership and look forward to contributing to the ongoing development of Tel Aviv’s infrastructure.</w:t>
      </w:r>
    </w:p>
    <w:bookmarkEnd w:id="24"/>
    <w:p>
      <w:pPr>
        <w:pStyle w:val="BodyText"/>
      </w:pPr>
      <w:r>
        <w:t xml:space="preserve">This is an official invoice issued by Negev Civil Engineering Solutions Ltd., a registered company in Israel. All rights reserved. © 2024.</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Civil Engineering Invoice - Tel Aviv, Israel</dc:title>
  <dc:creator/>
  <dc:language>en</dc:language>
  <cp:keywords/>
  <dcterms:created xsi:type="dcterms:W3CDTF">2026-10-10T01:20:46Z</dcterms:created>
  <dcterms:modified xsi:type="dcterms:W3CDTF">2026-10-10T01:20:46Z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