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almaty-civil-engineering-solutions-llp"/>
    <w:p>
      <w:pPr>
        <w:pStyle w:val="Heading1"/>
      </w:pPr>
      <w:r>
        <w:t xml:space="preserve">Almaty Civil Engineering Solutions LLP</w:t>
      </w:r>
    </w:p>
    <w:p>
      <w:pPr>
        <w:pStyle w:val="FirstParagraph"/>
      </w:pPr>
      <w:r>
        <w:rPr>
          <w:bCs/>
          <w:b/>
        </w:rPr>
        <w:t xml:space="preserve">Address:</w:t>
      </w:r>
      <w:r>
        <w:t xml:space="preserve"> </w:t>
      </w:r>
      <w:r>
        <w:t xml:space="preserve">45 Abai Avenue, Almaty, 050000, Kazakhstan</w:t>
      </w:r>
    </w:p>
    <w:p>
      <w:pPr>
        <w:pStyle w:val="BodyText"/>
      </w:pPr>
      <w:r>
        <w:rPr>
          <w:bCs/>
          <w:b/>
        </w:rPr>
        <w:t xml:space="preserve">Phone:</w:t>
      </w:r>
      <w:r>
        <w:t xml:space="preserve"> </w:t>
      </w:r>
      <w:r>
        <w:t xml:space="preserve">+7 (727) 123-45-67</w:t>
      </w:r>
    </w:p>
    <w:p>
      <w:pPr>
        <w:pStyle w:val="BodyText"/>
      </w:pPr>
      <w:r>
        <w:rPr>
          <w:bCs/>
          <w:b/>
        </w:rPr>
        <w:t xml:space="preserve">Email:</w:t>
      </w:r>
      <w:r>
        <w:t xml:space="preserve"> </w:t>
      </w:r>
      <w:r>
        <w:t xml:space="preserve">billing@almaty-civil.kz</w:t>
      </w:r>
    </w:p>
    <w:p>
      <w:pPr>
        <w:pStyle w:val="BodyText"/>
      </w:pPr>
      <w:r>
        <w:rPr>
          <w:bCs/>
          <w:b/>
        </w:rPr>
        <w:t xml:space="preserve">BIN:</w:t>
      </w:r>
      <w:r>
        <w:t xml:space="preserve"> </w:t>
      </w:r>
      <w:r>
        <w:t xml:space="preserve">123456789012</w:t>
      </w:r>
    </w:p>
    <w:p>
      <w:pPr>
        <w:pStyle w:val="BodyText"/>
      </w:pPr>
      <w:r>
        <w:rPr>
          <w:bCs/>
          <w:b/>
        </w:rPr>
        <w:t xml:space="preserve">License No:</w:t>
      </w:r>
      <w:r>
        <w:t xml:space="preserve"> </w:t>
      </w:r>
      <w:r>
        <w:t xml:space="preserve">KE-2023-CE-8891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ALM-RES-2023-09</w:t>
      </w:r>
    </w:p>
    <w:bookmarkEnd w:id="21"/>
    <w:bookmarkStart w:id="22" w:name="bill-to-client"/>
    <w:p>
      <w:pPr>
        <w:pStyle w:val="Heading3"/>
      </w:pPr>
      <w:r>
        <w:t xml:space="preserve">Bill To (Client)</w:t>
      </w:r>
    </w:p>
    <w:p>
      <w:pPr>
        <w:pStyle w:val="FirstParagraph"/>
      </w:pPr>
      <w:r>
        <w:rPr>
          <w:bCs/>
          <w:b/>
        </w:rPr>
        <w:t xml:space="preserve">Green Horizon Development JSC</w:t>
      </w:r>
    </w:p>
    <w:p>
      <w:pPr>
        <w:pStyle w:val="BodyText"/>
      </w:pPr>
      <w:r>
        <w:t xml:space="preserve">Attn: Mr. Alikhan Serikbayev, Chief Project Officer</w:t>
      </w:r>
    </w:p>
    <w:p>
      <w:pPr>
        <w:pStyle w:val="BodyText"/>
      </w:pPr>
      <w:r>
        <w:t xml:space="preserve">12 Tole Bi Street, Business Center "Alatau", Floor 15</w:t>
      </w:r>
    </w:p>
    <w:p>
      <w:pPr>
        <w:pStyle w:val="BodyText"/>
      </w:pPr>
      <w:r>
        <w:t xml:space="preserve">Almaty, 050010, Kazakhstan</w:t>
      </w:r>
    </w:p>
    <w:p>
      <w:pPr>
        <w:pStyle w:val="BodyText"/>
      </w:pPr>
      <w:r>
        <w:t xml:space="preserve">BIN: 987654321098</w:t>
      </w:r>
    </w:p>
    <w:bookmarkEnd w:id="22"/>
    <w:bookmarkStart w:id="23" w:name="project-location"/>
    <w:p>
      <w:pPr>
        <w:pStyle w:val="Heading3"/>
      </w:pPr>
      <w:r>
        <w:t xml:space="preserve">Project Location</w:t>
      </w:r>
    </w:p>
    <w:p>
      <w:pPr>
        <w:pStyle w:val="FirstParagraph"/>
      </w:pPr>
      <w:r>
        <w:rPr>
          <w:bCs/>
          <w:b/>
        </w:rPr>
        <w:t xml:space="preserve">Residential Complex "Almaty Heights"</w:t>
      </w:r>
    </w:p>
    <w:p>
      <w:pPr>
        <w:pStyle w:val="BodyText"/>
      </w:pPr>
      <w:r>
        <w:t xml:space="preserve">Microdistrict 45, Almaty City</w:t>
      </w:r>
    </w:p>
    <w:p>
      <w:pPr>
        <w:pStyle w:val="BodyText"/>
      </w:pPr>
      <w:r>
        <w:t xml:space="preserve">Kazakhstan</w:t>
      </w:r>
    </w:p>
    <w:p>
      <w:pPr>
        <w:pStyle w:val="BodyText"/>
      </w:pPr>
      <w:r>
        <w:rPr>
          <w:iCs/>
          <w:i/>
        </w:rPr>
        <w:t xml:space="preserve">Scope: Structural Analysis &amp; Foundation Design</w:t>
      </w:r>
    </w:p>
    <w:bookmarkEnd w:id="23"/>
    <w:bookmarkStart w:id="24" w:name="scope-of-civil-engineering-services"/>
    <w:p>
      <w:pPr>
        <w:pStyle w:val="Heading3"/>
      </w:pPr>
      <w:r>
        <w:t xml:space="preserve">Scope of Civil Engineering Services</w:t>
      </w:r>
    </w:p>
    <w:p>
      <w:pPr>
        <w:pStyle w:val="FirstParagraph"/>
      </w:pPr>
      <w:r>
        <w:t xml:space="preserve">This Invoice represents the professional fees for comprehensive Civil Engineering consultancy services rendered by Almaty Civil Engineering Solutions LLP to Green Horizon Development JSC. The services were executed in strict accordance with the technical specifications agreed upon in the Master Service Agreement dated September 1, 2023, and comply with the current national standards of the Republic of Kazakhstan, specifically SNiP and GOST regulations applicable to construction in Almaty.</w:t>
      </w:r>
    </w:p>
    <w:p>
      <w:pPr>
        <w:pStyle w:val="BodyText"/>
      </w:pPr>
      <w:r>
        <w:t xml:space="preserve">The primary objective of this engagement was to ensure the structural integrity, safety, and regulatory compliance of the proposed multi-story residential complex located in the rapidly developing Microdistrict 45 of Almaty. Given the unique geological conditions of the Almaty region, including seismic activity considerations and variable soil composition, our team of licensed Civil Engineers conducted extensive site investigations and geotechnical assessments.</w:t>
      </w:r>
    </w:p>
    <w:p>
      <w:pPr>
        <w:pStyle w:val="BodyText"/>
      </w:pPr>
      <w:r>
        <w:t xml:space="preserve">The deliverables included detailed soil bearing capacity analysis, foundation design optimization to mitigate settlement risks, structural load calculations for high-rise frameworks, and drainage system planning to manage local precipitation patterns. Furthermore, our engineers provided critical oversight during the preliminary construction phase, ensuring that the on-site execution in Almaty aligned perfectly with the approved engineering blueprints. This Invoice covers the period from September 15, 2023, to October 20, 2023.</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drilling and sampling at the Almaty Heights site. Laboratory testing for soil composition, moisture content, and bearing capacity. Preparation of Geotechnical Report compliant with Kazakhstani building codes.</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2</w:t>
            </w:r>
          </w:p>
        </w:tc>
        <w:tc>
          <w:tcPr/>
          <w:p>
            <w:pPr>
              <w:pStyle w:val="Compact"/>
              <w:jc w:val="left"/>
            </w:pPr>
            <w:r>
              <w:rPr>
                <w:bCs/>
                <w:b/>
              </w:rPr>
              <w:t xml:space="preserve">Structural Design &amp; Foundation Engineering</w:t>
            </w:r>
            <w:r>
              <w:br/>
            </w:r>
            <w:r>
              <w:t xml:space="preserve">Design of deep foundation systems (piles and raft) suitable for Almaty's seismic zone. Structural modeling using advanced software to ensure load distribution efficiency for 25-story residential towers.</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rPr>
                <w:bCs/>
                <w:b/>
              </w:rPr>
              <w:t xml:space="preserve">Site Supervision &amp; Quality Assurance</w:t>
            </w:r>
            <w:r>
              <w:br/>
            </w:r>
            <w:r>
              <w:t xml:space="preserve">On-site monitoring by senior Civil Engineers during the excavation and foundation pouring phases. Verification of concrete mix ratios and reinforcement placement against approved drawings.</w:t>
            </w:r>
          </w:p>
        </w:tc>
        <w:tc>
          <w:tcPr/>
          <w:p>
            <w:pPr>
              <w:pStyle w:val="Compact"/>
              <w:jc w:val="left"/>
            </w:pPr>
            <w:r>
              <w:t xml:space="preserve">40</w:t>
            </w:r>
          </w:p>
        </w:tc>
        <w:tc>
          <w:tcPr/>
          <w:p>
            <w:pPr>
              <w:pStyle w:val="Compact"/>
              <w:jc w:val="left"/>
            </w:pPr>
            <w:r>
              <w:t xml:space="preserve">45,000.00</w:t>
            </w:r>
          </w:p>
        </w:tc>
        <w:tc>
          <w:tcPr/>
          <w:p>
            <w:pPr>
              <w:pStyle w:val="Compact"/>
              <w:jc w:val="left"/>
            </w:pPr>
            <w:r>
              <w:t xml:space="preserve">1,800,000.00</w:t>
            </w:r>
          </w:p>
        </w:tc>
      </w:tr>
      <w:tr>
        <w:tc>
          <w:tcPr/>
          <w:p>
            <w:pPr>
              <w:pStyle w:val="Compact"/>
              <w:jc w:val="left"/>
            </w:pPr>
            <w:r>
              <w:t xml:space="preserve">4</w:t>
            </w:r>
          </w:p>
        </w:tc>
        <w:tc>
          <w:tcPr/>
          <w:p>
            <w:pPr>
              <w:pStyle w:val="Compact"/>
              <w:jc w:val="left"/>
            </w:pPr>
            <w:r>
              <w:rPr>
                <w:bCs/>
                <w:b/>
              </w:rPr>
              <w:t xml:space="preserve">Regulatory Compliance &amp; Permitting Support</w:t>
            </w:r>
            <w:r>
              <w:br/>
            </w:r>
            <w:r>
              <w:t xml:space="preserve">Preparation of technical documentation required by the Almaty City Committee for Architecture and Urban Planning. Ensuring all designs meet the latest fire safety and structural integrity mandates of Kazakhstan.</w:t>
            </w:r>
          </w:p>
        </w:tc>
        <w:tc>
          <w:tcPr/>
          <w:p>
            <w:pPr>
              <w:pStyle w:val="Compact"/>
              <w:jc w:val="left"/>
            </w:pPr>
            <w:r>
              <w:t xml:space="preserve">1</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5</w:t>
            </w:r>
          </w:p>
        </w:tc>
        <w:tc>
          <w:tcPr/>
          <w:p>
            <w:pPr>
              <w:pStyle w:val="Compact"/>
              <w:jc w:val="left"/>
            </w:pPr>
            <w:r>
              <w:rPr>
                <w:bCs/>
                <w:b/>
              </w:rPr>
              <w:t xml:space="preserve">Drainage &amp; Stormwater Management Plan</w:t>
            </w:r>
            <w:r>
              <w:br/>
            </w:r>
            <w:r>
              <w:t xml:space="preserve">Design of sustainable drainage systems to handle Almaty's seasonal rainfall. Integration with municipal infrastructure to prevent flooding and erosion on the construction site.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bl>
    <w:p>
      <w:pPr>
        <w:pStyle w:val="BodyText"/>
      </w:pPr>
      <w:r>
        <w:t xml:space="preserve">Subtotal:</w:t>
      </w:r>
      <w:r>
        <w:t xml:space="preserve"> </w:t>
      </w:r>
      <w:r>
        <w:t xml:space="preserve">7,600,000.00 KZT</w:t>
      </w:r>
    </w:p>
    <w:p>
      <w:pPr>
        <w:pStyle w:val="BodyText"/>
      </w:pPr>
      <w:r>
        <w:t xml:space="preserve">VAT (12%):</w:t>
      </w:r>
      <w:r>
        <w:t xml:space="preserve"> </w:t>
      </w:r>
      <w:r>
        <w:t xml:space="preserve">912,000.00 KZT</w:t>
      </w:r>
    </w:p>
    <w:p>
      <w:pPr>
        <w:pStyle w:val="BodyText"/>
      </w:pPr>
      <w:r>
        <w:t xml:space="preserve">Withholding Tax (if applicable):</w:t>
      </w:r>
      <w:r>
        <w:t xml:space="preserve"> </w:t>
      </w:r>
      <w:r>
        <w:t xml:space="preserve">0.00 KZT</w:t>
      </w:r>
    </w:p>
    <w:p>
      <w:pPr>
        <w:pStyle w:val="BodyText"/>
      </w:pPr>
      <w:r>
        <w:t xml:space="preserve">TOTAL DUE:</w:t>
      </w:r>
      <w:r>
        <w:t xml:space="preserve"> </w:t>
      </w:r>
      <w:r>
        <w:t xml:space="preserve">8,512,000.00 KZT</w:t>
      </w:r>
    </w:p>
    <w:p>
      <w:pPr>
        <w:pStyle w:val="BodyText"/>
      </w:pPr>
      <w:r>
        <w:t xml:space="preserve">(Eight Million Five Hundred Twelve Thousand Tenge)</w:t>
      </w:r>
    </w:p>
    <w:bookmarkStart w:id="25" w:name="payment-instructions"/>
    <w:p>
      <w:pPr>
        <w:pStyle w:val="Heading3"/>
      </w:pPr>
      <w:r>
        <w:t xml:space="preserve">Payment Instructions</w:t>
      </w:r>
    </w:p>
    <w:p>
      <w:pPr>
        <w:pStyle w:val="FirstParagraph"/>
      </w:pPr>
      <w:r>
        <w:t xml:space="preserve">Please remit payment within 30 days of the invoice date to the following bank account in Kazakhstan:</w:t>
      </w:r>
    </w:p>
    <w:p>
      <w:pPr>
        <w:numPr>
          <w:ilvl w:val="0"/>
          <w:numId w:val="1001"/>
        </w:numPr>
        <w:pStyle w:val="Compact"/>
      </w:pPr>
      <w:r>
        <w:rPr>
          <w:bCs/>
          <w:b/>
        </w:rPr>
        <w:t xml:space="preserve">Bank Name:</w:t>
      </w:r>
      <w:r>
        <w:t xml:space="preserve"> </w:t>
      </w:r>
      <w:r>
        <w:t xml:space="preserve">Halyk Bank JSC</w:t>
      </w:r>
    </w:p>
    <w:p>
      <w:pPr>
        <w:numPr>
          <w:ilvl w:val="0"/>
          <w:numId w:val="1001"/>
        </w:numPr>
        <w:pStyle w:val="Compact"/>
      </w:pPr>
      <w:r>
        <w:rPr>
          <w:bCs/>
          <w:b/>
        </w:rPr>
        <w:t xml:space="preserve">Account Name:</w:t>
      </w:r>
      <w:r>
        <w:t xml:space="preserve"> </w:t>
      </w:r>
      <w:r>
        <w:t xml:space="preserve">Almaty Civil Engineering Solutions LLP</w:t>
      </w:r>
    </w:p>
    <w:p>
      <w:pPr>
        <w:numPr>
          <w:ilvl w:val="0"/>
          <w:numId w:val="1001"/>
        </w:numPr>
        <w:pStyle w:val="Compact"/>
      </w:pPr>
      <w:r>
        <w:rPr>
          <w:bCs/>
          <w:b/>
        </w:rPr>
        <w:t xml:space="preserve">Account Number:</w:t>
      </w:r>
      <w:r>
        <w:t xml:space="preserve"> </w:t>
      </w:r>
      <w:r>
        <w:t xml:space="preserve">KZ85 125K ZTP0 0000 1234 5678</w:t>
      </w:r>
    </w:p>
    <w:p>
      <w:pPr>
        <w:numPr>
          <w:ilvl w:val="0"/>
          <w:numId w:val="1001"/>
        </w:numPr>
        <w:pStyle w:val="Compact"/>
      </w:pPr>
      <w:r>
        <w:rPr>
          <w:bCs/>
          <w:b/>
        </w:rPr>
        <w:t xml:space="preserve">BIC/SWIFT:</w:t>
      </w:r>
      <w:r>
        <w:t xml:space="preserve"> </w:t>
      </w:r>
      <w:r>
        <w:t xml:space="preserve">HLBBKZKA</w:t>
      </w:r>
    </w:p>
    <w:p>
      <w:pPr>
        <w:numPr>
          <w:ilvl w:val="0"/>
          <w:numId w:val="1001"/>
        </w:numPr>
        <w:pStyle w:val="Compact"/>
      </w:pPr>
      <w:r>
        <w:rPr>
          <w:bCs/>
          <w:b/>
        </w:rPr>
        <w:t xml:space="preserve">Reference:</w:t>
      </w:r>
      <w:r>
        <w:t xml:space="preserve"> </w:t>
      </w:r>
      <w:r>
        <w:t xml:space="preserve">INV-2023-10-045</w:t>
      </w:r>
    </w:p>
    <w:p>
      <w:pPr>
        <w:pStyle w:val="FirstParagraph"/>
      </w:pPr>
      <w:r>
        <w:rPr>
          <w:iCs/>
          <w:i/>
        </w:rPr>
        <w:t xml:space="preserve">Note: Please ensure the invoice number is included in the payment reference to facilitate accurate reconciliation.</w:t>
      </w:r>
    </w:p>
    <w:bookmarkEnd w:id="25"/>
    <w:bookmarkStart w:id="26" w:name="terms-and-conditions"/>
    <w:p>
      <w:pPr>
        <w:pStyle w:val="Heading4"/>
      </w:pPr>
      <w:r>
        <w:t xml:space="preserve">Terms and Conditions</w:t>
      </w:r>
    </w:p>
    <w:p>
      <w:pPr>
        <w:numPr>
          <w:ilvl w:val="0"/>
          <w:numId w:val="1002"/>
        </w:numPr>
        <w:pStyle w:val="Compact"/>
      </w:pPr>
      <w:r>
        <w:t xml:space="preserve">Payment is due within 30 days from the date of this Invoice. Late payments may incur a penalty interest of 0.1% per day as per the Civil Code of the Republic of Kazakhstan.</w:t>
      </w:r>
    </w:p>
    <w:p>
      <w:pPr>
        <w:numPr>
          <w:ilvl w:val="0"/>
          <w:numId w:val="1002"/>
        </w:numPr>
        <w:pStyle w:val="Compact"/>
      </w:pPr>
      <w:r>
        <w:t xml:space="preserve">All services provided are subject to the professional standards of the Chamber of Civil Engineers of Kazakhstan.</w:t>
      </w:r>
    </w:p>
    <w:p>
      <w:pPr>
        <w:numPr>
          <w:ilvl w:val="0"/>
          <w:numId w:val="1002"/>
        </w:numPr>
        <w:pStyle w:val="Compact"/>
      </w:pPr>
      <w:r>
        <w:t xml:space="preserve">This Invoice is valid for the specific project scope outlined above. Any additional services requested by the client in Almaty will be billed separately via a Change Order.</w:t>
      </w:r>
    </w:p>
    <w:p>
      <w:pPr>
        <w:numPr>
          <w:ilvl w:val="0"/>
          <w:numId w:val="1002"/>
        </w:numPr>
        <w:pStyle w:val="Compact"/>
      </w:pPr>
      <w:r>
        <w:t xml:space="preserve">In the event of a dispute regarding the engineering services or this Invoice, both parties agree to resolve the matter through negotiation in Almaty, Kazakhstan, before pursuing legal action.</w:t>
      </w:r>
    </w:p>
    <w:p>
      <w:pPr>
        <w:numPr>
          <w:ilvl w:val="0"/>
          <w:numId w:val="1002"/>
        </w:numPr>
        <w:pStyle w:val="Compact"/>
      </w:pPr>
      <w:r>
        <w:t xml:space="preserve">Ownership of all engineering drawings, reports, and intellectual property remains with Almaty Civil Engineering Solutions LLP until full payment is received.</w:t>
      </w:r>
    </w:p>
    <w:bookmarkEnd w:id="26"/>
    <w:p>
      <w:pPr>
        <w:pStyle w:val="FirstParagraph"/>
      </w:pPr>
      <w:r>
        <w:t xml:space="preserve">Thank you for your business. We are committed to delivering excellence in Civil Engineering across Kazakhstan.</w:t>
      </w:r>
    </w:p>
    <w:p>
      <w:pPr>
        <w:pStyle w:val="BodyText"/>
      </w:pPr>
      <w:r>
        <w:t xml:space="preserve">Almaty Civil Engineering Solutions LLP | 45 Abai Avenue, Almaty, 050000, Kazakhstan</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Almaty, Kazakhstan</dc:title>
  <dc:creator/>
  <dc:language>en</dc:language>
  <cp:keywords/>
  <dcterms:created xsi:type="dcterms:W3CDTF">2026-10-10T04:34:25Z</dcterms:created>
  <dcterms:modified xsi:type="dcterms:W3CDTF">2026-10-10T04:34:25Z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