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amsterdam-civil-engineering-solutions"/>
    <w:p>
      <w:pPr>
        <w:pStyle w:val="Heading1"/>
      </w:pPr>
      <w:r>
        <w:t xml:space="preserve">Amsterdam Civil Engineering Solutions</w:t>
      </w:r>
    </w:p>
    <w:p>
      <w:pPr>
        <w:pStyle w:val="FirstParagraph"/>
      </w:pPr>
      <w:r>
        <w:rPr>
          <w:bCs/>
          <w:b/>
        </w:rPr>
        <w:t xml:space="preserve">Registered Office:</w:t>
      </w:r>
    </w:p>
    <w:p>
      <w:pPr>
        <w:pStyle w:val="BodyText"/>
      </w:pPr>
      <w:r>
        <w:t xml:space="preserve">Herengracht 450, 1017 CA Amsterdam</w:t>
      </w:r>
    </w:p>
    <w:p>
      <w:pPr>
        <w:pStyle w:val="BodyText"/>
      </w:pPr>
      <w:r>
        <w:t xml:space="preserve">The Netherlands</w:t>
      </w:r>
    </w:p>
    <w:p>
      <w:pPr>
        <w:pStyle w:val="BodyText"/>
      </w:pPr>
      <w:r>
        <w:rPr>
          <w:bCs/>
          <w:b/>
        </w:rPr>
        <w:t xml:space="preserve">KVK (Chamber of Commerce):</w:t>
      </w:r>
      <w:r>
        <w:t xml:space="preserve"> </w:t>
      </w:r>
      <w:r>
        <w:t xml:space="preserve">82.145.932</w:t>
      </w:r>
    </w:p>
    <w:p>
      <w:pPr>
        <w:pStyle w:val="BodyText"/>
      </w:pPr>
      <w:r>
        <w:rPr>
          <w:bCs/>
          <w:b/>
        </w:rPr>
        <w:t xml:space="preserve">VAT ID:</w:t>
      </w:r>
      <w:r>
        <w:t xml:space="preserve"> </w:t>
      </w:r>
      <w:r>
        <w:t xml:space="preserve">NL859214532B01</w:t>
      </w:r>
    </w:p>
    <w:p>
      <w:pPr>
        <w:pStyle w:val="BodyText"/>
      </w:pPr>
      <w:r>
        <w:rPr>
          <w:bCs/>
          <w:b/>
        </w:rPr>
        <w:t xml:space="preserve">Email:</w:t>
      </w:r>
      <w:r>
        <w:t xml:space="preserve"> </w:t>
      </w:r>
      <w:r>
        <w:t xml:space="preserve">billing@amsterdamcivileng.nl</w:t>
      </w:r>
    </w:p>
    <w:p>
      <w:pPr>
        <w:pStyle w:val="BodyText"/>
      </w:pPr>
      <w:r>
        <w:rPr>
          <w:bCs/>
          <w:b/>
        </w:rPr>
        <w:t xml:space="preserve">Phone:</w:t>
      </w:r>
      <w:r>
        <w:t xml:space="preserve"> </w:t>
      </w:r>
      <w:r>
        <w:t xml:space="preserve">+31 20 555 0199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AMS-DIKE-REINFORCE-2023</w:t>
      </w:r>
    </w:p>
    <w:bookmarkEnd w:id="21"/>
    <w:bookmarkStart w:id="22" w:name="bill-to"/>
    <w:p>
      <w:pPr>
        <w:pStyle w:val="Heading3"/>
      </w:pPr>
      <w:r>
        <w:t xml:space="preserve">Bill To:</w:t>
      </w:r>
    </w:p>
    <w:p>
      <w:pPr>
        <w:pStyle w:val="FirstParagraph"/>
      </w:pPr>
      <w:r>
        <w:rPr>
          <w:bCs/>
          <w:b/>
        </w:rPr>
        <w:t xml:space="preserve">Municipality of Amsterdam - Department of Public Works</w:t>
      </w:r>
    </w:p>
    <w:p>
      <w:pPr>
        <w:pStyle w:val="BodyText"/>
      </w:pPr>
      <w:r>
        <w:t xml:space="preserve">Stadhouderskade 125</w:t>
      </w:r>
    </w:p>
    <w:p>
      <w:pPr>
        <w:pStyle w:val="BodyText"/>
      </w:pPr>
      <w:r>
        <w:t xml:space="preserve">1072 XX Amsterdam</w:t>
      </w:r>
    </w:p>
    <w:p>
      <w:pPr>
        <w:pStyle w:val="BodyText"/>
      </w:pPr>
      <w:r>
        <w:t xml:space="preserve">The Netherlands</w:t>
      </w:r>
    </w:p>
    <w:p>
      <w:pPr>
        <w:pStyle w:val="BodyText"/>
      </w:pPr>
      <w:r>
        <w:rPr>
          <w:bCs/>
          <w:b/>
        </w:rPr>
        <w:t xml:space="preserve">Contact Person:</w:t>
      </w:r>
      <w:r>
        <w:t xml:space="preserve"> </w:t>
      </w:r>
      <w:r>
        <w:t xml:space="preserve">Mr. Jan de Vries, Project Manager</w:t>
      </w:r>
    </w:p>
    <w:p>
      <w:pPr>
        <w:pStyle w:val="BodyText"/>
      </w:pPr>
      <w:r>
        <w:rPr>
          <w:bCs/>
          <w:b/>
        </w:rPr>
        <w:t xml:space="preserve">VAT ID:</w:t>
      </w:r>
      <w:r>
        <w:t xml:space="preserve"> </w:t>
      </w:r>
      <w:r>
        <w:t xml:space="preserve">NL000000000B01</w:t>
      </w:r>
    </w:p>
    <w:bookmarkEnd w:id="22"/>
    <w:bookmarkStart w:id="23" w:name="services-rendered"/>
    <w:p>
      <w:pPr>
        <w:pStyle w:val="Heading3"/>
      </w:pPr>
      <w:r>
        <w:t xml:space="preserve">Services Rendered</w:t>
      </w:r>
    </w:p>
    <w:p>
      <w:pPr>
        <w:pStyle w:val="FirstParagraph"/>
      </w:pPr>
      <w:r>
        <w:t xml:space="preserve">Detailed civil engineering consultancy and technical oversight for the reinforcement of the IJ-dike infrastructure in Amsterdam, Netherlands. All calculations adhere to NEN-EN 1997 (Eurocode 7)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Geotechnical Site Investigation &amp; Analysis</w:t>
            </w:r>
            <w:r>
              <w:br/>
            </w:r>
            <w:r>
              <w:t xml:space="preserve">Comprehensive soil sampling and analysis at the designated Amsterdam waterfront site. Assessment of soil bearing capacity, groundwater levels, and liquefaction potential specific to the Dutch deltaic soil conditions.</w:t>
            </w:r>
          </w:p>
        </w:tc>
        <w:tc>
          <w:tcPr/>
          <w:p>
            <w:pPr>
              <w:pStyle w:val="Compact"/>
              <w:jc w:val="left"/>
            </w:pPr>
            <w:r>
              <w:t xml:space="preserve">40.0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2</w:t>
            </w:r>
          </w:p>
        </w:tc>
        <w:tc>
          <w:tcPr/>
          <w:p>
            <w:pPr>
              <w:pStyle w:val="Compact"/>
              <w:jc w:val="left"/>
            </w:pPr>
            <w:r>
              <w:rPr>
                <w:bCs/>
                <w:b/>
              </w:rPr>
              <w:t xml:space="preserve">Structural Design &amp; Modeling</w:t>
            </w:r>
            <w:r>
              <w:br/>
            </w:r>
            <w:r>
              <w:t xml:space="preserve">Development of reinforced concrete retaining wall designs using BIM software. Structural integrity analysis ensuring compliance with local Amsterdam building codes and national Dutch safety regulations for flood defense infrastructure.</w:t>
            </w:r>
          </w:p>
        </w:tc>
        <w:tc>
          <w:tcPr/>
          <w:p>
            <w:pPr>
              <w:pStyle w:val="Compact"/>
              <w:jc w:val="left"/>
            </w:pPr>
            <w:r>
              <w:t xml:space="preserve">65.0</w:t>
            </w:r>
          </w:p>
        </w:tc>
        <w:tc>
          <w:tcPr/>
          <w:p>
            <w:pPr>
              <w:pStyle w:val="Compact"/>
              <w:jc w:val="left"/>
            </w:pPr>
            <w:r>
              <w:t xml:space="preserve">165.00</w:t>
            </w:r>
          </w:p>
        </w:tc>
        <w:tc>
          <w:tcPr/>
          <w:p>
            <w:pPr>
              <w:pStyle w:val="Compact"/>
              <w:jc w:val="left"/>
            </w:pPr>
            <w:r>
              <w:t xml:space="preserve">10,725.00</w:t>
            </w:r>
          </w:p>
        </w:tc>
      </w:tr>
      <w:tr>
        <w:tc>
          <w:tcPr/>
          <w:p>
            <w:pPr>
              <w:pStyle w:val="Compact"/>
              <w:jc w:val="left"/>
            </w:pPr>
            <w:r>
              <w:t xml:space="preserve">3</w:t>
            </w:r>
          </w:p>
        </w:tc>
        <w:tc>
          <w:tcPr/>
          <w:p>
            <w:pPr>
              <w:pStyle w:val="Compact"/>
              <w:jc w:val="left"/>
            </w:pPr>
            <w:r>
              <w:rPr>
                <w:bCs/>
                <w:b/>
              </w:rPr>
              <w:t xml:space="preserve">Hydraulic Engineering Consultation</w:t>
            </w:r>
            <w:r>
              <w:br/>
            </w:r>
            <w:r>
              <w:t xml:space="preserve">Hydrological modeling to predict water flow dynamics during peak storm surges. Design of drainage systems to mitigate waterlogging risks in the adjacent urban area of Amsterdam.</w:t>
            </w:r>
          </w:p>
        </w:tc>
        <w:tc>
          <w:tcPr/>
          <w:p>
            <w:pPr>
              <w:pStyle w:val="Compact"/>
              <w:jc w:val="left"/>
            </w:pPr>
            <w:r>
              <w:t xml:space="preserve">30.0</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4</w:t>
            </w:r>
          </w:p>
        </w:tc>
        <w:tc>
          <w:tcPr/>
          <w:p>
            <w:pPr>
              <w:pStyle w:val="Compact"/>
              <w:jc w:val="left"/>
            </w:pPr>
            <w:r>
              <w:rPr>
                <w:bCs/>
                <w:b/>
              </w:rPr>
              <w:t xml:space="preserve">Project Management &amp; Site Supervision</w:t>
            </w:r>
            <w:r>
              <w:br/>
            </w:r>
            <w:r>
              <w:t xml:space="preserve">On-site supervision of civil works, quality control of concrete pours, and coordination with local contractors. Ensuring adherence to the project timeline and safety protocols mandated by the Netherlands Occupational Safety and Health Act.</w:t>
            </w:r>
          </w:p>
        </w:tc>
        <w:tc>
          <w:tcPr/>
          <w:p>
            <w:pPr>
              <w:pStyle w:val="Compact"/>
              <w:jc w:val="left"/>
            </w:pPr>
            <w:r>
              <w:t xml:space="preserve">50.0</w:t>
            </w:r>
          </w:p>
        </w:tc>
        <w:tc>
          <w:tcPr/>
          <w:p>
            <w:pPr>
              <w:pStyle w:val="Compact"/>
              <w:jc w:val="left"/>
            </w:pPr>
            <w:r>
              <w:t xml:space="preserve">135.00</w:t>
            </w:r>
          </w:p>
        </w:tc>
        <w:tc>
          <w:tcPr/>
          <w:p>
            <w:pPr>
              <w:pStyle w:val="Compact"/>
              <w:jc w:val="left"/>
            </w:pPr>
            <w:r>
              <w:t xml:space="preserve">6,750.00</w:t>
            </w:r>
          </w:p>
        </w:tc>
      </w:tr>
      <w:tr>
        <w:tc>
          <w:tcPr/>
          <w:p>
            <w:pPr>
              <w:pStyle w:val="Compact"/>
              <w:jc w:val="left"/>
            </w:pPr>
            <w:r>
              <w:t xml:space="preserve">5</w:t>
            </w:r>
          </w:p>
        </w:tc>
        <w:tc>
          <w:tcPr/>
          <w:p>
            <w:pPr>
              <w:pStyle w:val="Compact"/>
              <w:jc w:val="left"/>
            </w:pPr>
            <w:r>
              <w:rPr>
                <w:bCs/>
                <w:b/>
              </w:rPr>
              <w:t xml:space="preserve">Regulatory Permitting &amp; Documentation</w:t>
            </w:r>
            <w:r>
              <w:br/>
            </w:r>
            <w:r>
              <w:t xml:space="preserve">Preparation and submission of technical dossiers to the Amsterdam Environmental Services (Omgevingsdienst). Coordination with the Rijkswaterstaat regarding water management permits.</w:t>
            </w:r>
          </w:p>
        </w:tc>
        <w:tc>
          <w:tcPr/>
          <w:p>
            <w:pPr>
              <w:pStyle w:val="Compact"/>
              <w:jc w:val="left"/>
            </w:pPr>
            <w:r>
              <w:t xml:space="preserve">15.0</w:t>
            </w:r>
          </w:p>
        </w:tc>
        <w:tc>
          <w:tcPr/>
          <w:p>
            <w:pPr>
              <w:pStyle w:val="Compact"/>
              <w:jc w:val="left"/>
            </w:pPr>
            <w:r>
              <w:t xml:space="preserve">145.00</w:t>
            </w:r>
          </w:p>
        </w:tc>
        <w:tc>
          <w:tcPr/>
          <w:p>
            <w:pPr>
              <w:pStyle w:val="Compact"/>
              <w:jc w:val="left"/>
            </w:pPr>
            <w:r>
              <w:t xml:space="preserve">2,175.00</w:t>
            </w:r>
          </w:p>
        </w:tc>
      </w:tr>
      <w:tr>
        <w:tc>
          <w:tcPr/>
          <w:p>
            <w:pPr>
              <w:pStyle w:val="Compact"/>
              <w:jc w:val="left"/>
            </w:pPr>
            <w:r>
              <w:t xml:space="preserve">6</w:t>
            </w:r>
          </w:p>
        </w:tc>
        <w:tc>
          <w:tcPr/>
          <w:p>
            <w:pPr>
              <w:pStyle w:val="Compact"/>
              <w:jc w:val="left"/>
            </w:pPr>
            <w:r>
              <w:rPr>
                <w:bCs/>
                <w:b/>
              </w:rPr>
              <w:t xml:space="preserve">Sustainability Assessment</w:t>
            </w:r>
            <w:r>
              <w:br/>
            </w:r>
            <w:r>
              <w:t xml:space="preserve">Environmental impact assessment focusing on carbon footprint reduction in construction materials. Proposal for using recycled aggregates in accordance with Dutch circular economy principles.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bookmarkEnd w:id="23"/>
    <w:p>
      <w:pPr>
        <w:pStyle w:val="BodyText"/>
      </w:pPr>
      <w:r>
        <w:t xml:space="preserve">Subtotal:</w:t>
      </w:r>
      <w:r>
        <w:t xml:space="preserve"> </w:t>
      </w:r>
      <w:r>
        <w:t xml:space="preserve">€31,600.00</w:t>
      </w:r>
    </w:p>
    <w:p>
      <w:pPr>
        <w:pStyle w:val="BodyText"/>
      </w:pPr>
      <w:r>
        <w:t xml:space="preserve">VAT (21%):</w:t>
      </w:r>
      <w:r>
        <w:t xml:space="preserve"> </w:t>
      </w:r>
      <w:r>
        <w:t xml:space="preserve">€6,636.00</w:t>
      </w:r>
    </w:p>
    <w:p>
      <w:pPr>
        <w:pStyle w:val="BodyText"/>
      </w:pPr>
      <w:r>
        <w:t xml:space="preserve">Total Due:</w:t>
      </w:r>
      <w:r>
        <w:t xml:space="preserve"> </w:t>
      </w:r>
      <w:r>
        <w:t xml:space="preserve">€38,236.00</w:t>
      </w:r>
    </w:p>
    <w:bookmarkStart w:id="24"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€38,236.00</w:t>
      </w:r>
      <w:r>
        <w:t xml:space="preserve"> </w:t>
      </w:r>
      <w:r>
        <w:t xml:space="preserve">within 30 days of the invoice date.</w:t>
      </w:r>
    </w:p>
    <w:p>
      <w:pPr>
        <w:numPr>
          <w:ilvl w:val="0"/>
          <w:numId w:val="1001"/>
        </w:numPr>
        <w:pStyle w:val="Compact"/>
      </w:pPr>
      <w:r>
        <w:rPr>
          <w:bCs/>
          <w:b/>
        </w:rPr>
        <w:t xml:space="preserve">Bank Name:</w:t>
      </w:r>
      <w:r>
        <w:t xml:space="preserve"> </w:t>
      </w:r>
      <w:r>
        <w:t xml:space="preserve">ING Bank N.V.</w:t>
      </w:r>
    </w:p>
    <w:p>
      <w:pPr>
        <w:numPr>
          <w:ilvl w:val="0"/>
          <w:numId w:val="1001"/>
        </w:numPr>
        <w:pStyle w:val="Compact"/>
      </w:pPr>
      <w:r>
        <w:rPr>
          <w:bCs/>
          <w:b/>
        </w:rPr>
        <w:t xml:space="preserve">Account Holder:</w:t>
      </w:r>
      <w:r>
        <w:t xml:space="preserve"> </w:t>
      </w:r>
      <w:r>
        <w:t xml:space="preserve">Amsterdam Civil Engineering Solutions B.V.</w:t>
      </w:r>
    </w:p>
    <w:p>
      <w:pPr>
        <w:numPr>
          <w:ilvl w:val="0"/>
          <w:numId w:val="1001"/>
        </w:numPr>
        <w:pStyle w:val="Compact"/>
      </w:pPr>
      <w:r>
        <w:rPr>
          <w:bCs/>
          <w:b/>
        </w:rPr>
        <w:t xml:space="preserve">IBAN:</w:t>
      </w:r>
      <w:r>
        <w:t xml:space="preserve"> </w:t>
      </w:r>
      <w:r>
        <w:t xml:space="preserve">NL91 INGB 0002 3456 78</w:t>
      </w:r>
    </w:p>
    <w:p>
      <w:pPr>
        <w:numPr>
          <w:ilvl w:val="0"/>
          <w:numId w:val="1001"/>
        </w:numPr>
        <w:pStyle w:val="Compact"/>
      </w:pPr>
      <w:r>
        <w:rPr>
          <w:bCs/>
          <w:b/>
        </w:rPr>
        <w:t xml:space="preserve">BIC/SWIFT:</w:t>
      </w:r>
      <w:r>
        <w:t xml:space="preserve"> </w:t>
      </w:r>
      <w:r>
        <w:t xml:space="preserve">INGBNL2A</w:t>
      </w:r>
    </w:p>
    <w:p>
      <w:pPr>
        <w:numPr>
          <w:ilvl w:val="0"/>
          <w:numId w:val="1001"/>
        </w:numPr>
        <w:pStyle w:val="Compact"/>
      </w:pPr>
      <w:r>
        <w:rPr>
          <w:bCs/>
          <w:b/>
        </w:rPr>
        <w:t xml:space="preserve">Reference:</w:t>
      </w:r>
      <w:r>
        <w:t xml:space="preserve"> </w:t>
      </w:r>
      <w:r>
        <w:t xml:space="preserve">INV-2023-10-045</w:t>
      </w:r>
    </w:p>
    <w:p>
      <w:pPr>
        <w:pStyle w:val="FirstParagraph"/>
      </w:pPr>
      <w:r>
        <w:rPr>
          <w:iCs/>
          <w:i/>
        </w:rPr>
        <w:t xml:space="preserve">Note: Please include the invoice number in the payment reference to ensure proper allocation of funds.</w:t>
      </w:r>
    </w:p>
    <w:bookmarkEnd w:id="24"/>
    <w:bookmarkStart w:id="25" w:name="terms-and-conditions"/>
    <w:p>
      <w:pPr>
        <w:pStyle w:val="Heading4"/>
      </w:pPr>
      <w:r>
        <w:t xml:space="preserve">Terms and Conditions</w:t>
      </w:r>
    </w:p>
    <w:p>
      <w:pPr>
        <w:numPr>
          <w:ilvl w:val="0"/>
          <w:numId w:val="1002"/>
        </w:numPr>
        <w:pStyle w:val="Compact"/>
      </w:pPr>
      <w:r>
        <w:rPr>
          <w:bCs/>
          <w:b/>
        </w:rPr>
        <w:t xml:space="preserve">Payment Terms:</w:t>
      </w:r>
      <w:r>
        <w:t xml:space="preserve"> </w:t>
      </w:r>
      <w:r>
        <w:t xml:space="preserve">Payment is due within 30 days from the date of this invoice. Late payments will incur interest at the statutory rate applicable in the Netherlands.</w:t>
      </w:r>
    </w:p>
    <w:p>
      <w:pPr>
        <w:numPr>
          <w:ilvl w:val="0"/>
          <w:numId w:val="1002"/>
        </w:numPr>
        <w:pStyle w:val="Compact"/>
      </w:pPr>
      <w:r>
        <w:rPr>
          <w:bCs/>
          <w:b/>
        </w:rPr>
        <w:t xml:space="preserve">Validity:</w:t>
      </w:r>
      <w:r>
        <w:t xml:space="preserve"> </w:t>
      </w:r>
      <w:r>
        <w:t xml:space="preserve">This invoice is valid for the services rendered as described above. Any additional services will be invoiced separately.</w:t>
      </w:r>
    </w:p>
    <w:p>
      <w:pPr>
        <w:numPr>
          <w:ilvl w:val="0"/>
          <w:numId w:val="1002"/>
        </w:numPr>
        <w:pStyle w:val="Compact"/>
      </w:pPr>
      <w:r>
        <w:rPr>
          <w:bCs/>
          <w:b/>
        </w:rPr>
        <w:t xml:space="preserve">Disputes:</w:t>
      </w:r>
      <w:r>
        <w:t xml:space="preserve"> </w:t>
      </w:r>
      <w:r>
        <w:t xml:space="preserve">Any disputes regarding this invoice must be raised in writing within 14 days of receipt. Failure to do so will be considered acceptance of the charges.</w:t>
      </w:r>
    </w:p>
    <w:p>
      <w:pPr>
        <w:numPr>
          <w:ilvl w:val="0"/>
          <w:numId w:val="1002"/>
        </w:numPr>
        <w:pStyle w:val="Compact"/>
      </w:pPr>
      <w:r>
        <w:rPr>
          <w:bCs/>
          <w:b/>
        </w:rPr>
        <w:t xml:space="preserve">Jurisdiction:</w:t>
      </w:r>
      <w:r>
        <w:t xml:space="preserve"> </w:t>
      </w:r>
      <w:r>
        <w:t xml:space="preserve">This invoice and the underlying services are governed by the laws of the Netherlands. Any legal proceedings shall be subject to the exclusive jurisdiction of the courts of Amsterdam.</w:t>
      </w:r>
    </w:p>
    <w:p>
      <w:pPr>
        <w:numPr>
          <w:ilvl w:val="0"/>
          <w:numId w:val="1002"/>
        </w:numPr>
        <w:pStyle w:val="Compact"/>
      </w:pPr>
      <w:r>
        <w:rPr>
          <w:bCs/>
          <w:b/>
        </w:rPr>
        <w:t xml:space="preserve">Confidentiality:</w:t>
      </w:r>
      <w:r>
        <w:t xml:space="preserve"> </w:t>
      </w:r>
      <w:r>
        <w:t xml:space="preserve">All technical data, designs, and reports provided as part of these civil engineering services remain the intellectual property of Amsterdam Civil Engineering Solutions B.V. unless otherwise agreed in writing.</w:t>
      </w:r>
    </w:p>
    <w:p>
      <w:pPr>
        <w:numPr>
          <w:ilvl w:val="0"/>
          <w:numId w:val="1002"/>
        </w:numPr>
        <w:pStyle w:val="Compact"/>
      </w:pPr>
      <w:r>
        <w:rPr>
          <w:bCs/>
          <w:b/>
        </w:rPr>
        <w:t xml:space="preserve">Force Majeure:</w:t>
      </w:r>
      <w:r>
        <w:t xml:space="preserve"> </w:t>
      </w:r>
      <w:r>
        <w:t xml:space="preserve">Neither party shall be liable for delays or failures in performance resulting from acts beyond their reasonable control, including but not limited to natural disasters, strikes, or government actions.</w:t>
      </w:r>
    </w:p>
    <w:p>
      <w:pPr>
        <w:numPr>
          <w:ilvl w:val="0"/>
          <w:numId w:val="1002"/>
        </w:numPr>
        <w:pStyle w:val="Compact"/>
      </w:pPr>
      <w:r>
        <w:rPr>
          <w:bCs/>
          <w:b/>
        </w:rPr>
        <w:t xml:space="preserve">Compliance:</w:t>
      </w:r>
      <w:r>
        <w:t xml:space="preserve"> </w:t>
      </w:r>
      <w:r>
        <w:t xml:space="preserve">All services have been performed in accordance with the professional standards of the Royal Institute of Dutch Engineers (KIVI) and relevant Dutch legislation.</w:t>
      </w:r>
    </w:p>
    <w:bookmarkEnd w:id="25"/>
    <w:p>
      <w:pPr>
        <w:pStyle w:val="FirstParagraph"/>
      </w:pPr>
      <w:r>
        <w:t xml:space="preserve">Thank you for your business. We appreciate your trust in our civil engineering expertise.</w:t>
      </w:r>
    </w:p>
    <w:p>
      <w:pPr>
        <w:pStyle w:val="BodyText"/>
      </w:pPr>
      <w:r>
        <w:t xml:space="preserve">Amsterdam Civil Engineering Solutions B.V. | Herengracht 450, 1017 CA Amsterdam, The Netherlands</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2026-10-10T06:58:08Z</dcterms:created>
  <dcterms:modified xsi:type="dcterms:W3CDTF">2026-10-10T06:58:08Z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