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Manila,</w:t>
      </w:r>
      <w:r>
        <w:t xml:space="preserve"> </w:t>
      </w:r>
      <w:r>
        <w:t xml:space="preserve">Philippines</w:t>
      </w:r>
    </w:p>
    <w:bookmarkStart w:id="20" w:name="X11bb960111dfb56284030da92fafb1cc666f1f6"/>
    <w:p>
      <w:pPr>
        <w:pStyle w:val="Heading1"/>
      </w:pPr>
      <w:r>
        <w:t xml:space="preserve">Manila Structural &amp; Civil Engineering Corp.</w:t>
      </w:r>
    </w:p>
    <w:p>
      <w:pPr>
        <w:pStyle w:val="FirstParagraph"/>
      </w:pPr>
      <w:r>
        <w:rPr>
          <w:bCs/>
          <w:b/>
        </w:rPr>
        <w:t xml:space="preserve">License No.:</w:t>
      </w:r>
      <w:r>
        <w:t xml:space="preserve"> </w:t>
      </w:r>
      <w:r>
        <w:t xml:space="preserve">PRC-CE-894521</w:t>
      </w:r>
    </w:p>
    <w:p>
      <w:pPr>
        <w:pStyle w:val="BodyText"/>
      </w:pPr>
      <w:r>
        <w:rPr>
          <w:bCs/>
          <w:b/>
        </w:rPr>
        <w:t xml:space="preserve">Address:</w:t>
      </w:r>
      <w:r>
        <w:t xml:space="preserve"> </w:t>
      </w:r>
      <w:r>
        <w:t xml:space="preserve">1234 Ayala Avenue, Makati City, Metro Manila, Philippines</w:t>
      </w:r>
    </w:p>
    <w:p>
      <w:pPr>
        <w:pStyle w:val="BodyText"/>
      </w:pPr>
      <w:r>
        <w:rPr>
          <w:bCs/>
          <w:b/>
        </w:rPr>
        <w:t xml:space="preserve">Email:</w:t>
      </w:r>
      <w:r>
        <w:t xml:space="preserve"> </w:t>
      </w:r>
      <w:r>
        <w:t xml:space="preserve">billing@manilacivileng.com.ph</w:t>
      </w:r>
    </w:p>
    <w:p>
      <w:pPr>
        <w:pStyle w:val="BodyText"/>
      </w:pPr>
      <w:r>
        <w:rPr>
          <w:bCs/>
          <w:b/>
        </w:rPr>
        <w:t xml:space="preserve">Phone:</w:t>
      </w:r>
      <w:r>
        <w:t xml:space="preserve"> </w:t>
      </w:r>
      <w:r>
        <w:t xml:space="preserve">+63 (2) 8888-1234</w:t>
      </w:r>
    </w:p>
    <w:p>
      <w:pPr>
        <w:pStyle w:val="BodyText"/>
      </w:pPr>
      <w:r>
        <w:rPr>
          <w:bCs/>
          <w:b/>
        </w:rPr>
        <w:t xml:space="preserve">TIN:</w:t>
      </w:r>
      <w:r>
        <w:t xml:space="preserve"> </w:t>
      </w:r>
      <w:r>
        <w:t xml:space="preserve">123-456-789-000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INV-2023-MNL-0045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Skyline Development Philippines Inc.</w:t>
      </w:r>
    </w:p>
    <w:p>
      <w:pPr>
        <w:pStyle w:val="BodyText"/>
      </w:pPr>
      <w:r>
        <w:rPr>
          <w:bCs/>
          <w:b/>
        </w:rPr>
        <w:t xml:space="preserve">Attn:</w:t>
      </w:r>
      <w:r>
        <w:t xml:space="preserve"> </w:t>
      </w:r>
      <w:r>
        <w:t xml:space="preserve">Mr. Juan Dela Cruz, Project Manager</w:t>
      </w:r>
    </w:p>
    <w:p>
      <w:pPr>
        <w:pStyle w:val="BodyText"/>
      </w:pPr>
      <w:r>
        <w:rPr>
          <w:bCs/>
          <w:b/>
        </w:rPr>
        <w:t xml:space="preserve">Address:</w:t>
      </w:r>
      <w:r>
        <w:t xml:space="preserve"> </w:t>
      </w:r>
      <w:r>
        <w:t xml:space="preserve">567 Ortigas Center, Pasig City, Metro Manila, Philippines</w:t>
      </w:r>
    </w:p>
    <w:p>
      <w:pPr>
        <w:pStyle w:val="BodyText"/>
      </w:pPr>
      <w:r>
        <w:rPr>
          <w:bCs/>
          <w:b/>
        </w:rPr>
        <w:t xml:space="preserve">Contact:</w:t>
      </w:r>
      <w:r>
        <w:t xml:space="preserve"> </w:t>
      </w:r>
      <w:r>
        <w:t xml:space="preserve">+63 (917) 555-0199</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Ortigas Mixed-Use High-Rise Complex</w:t>
      </w:r>
    </w:p>
    <w:p>
      <w:pPr>
        <w:pStyle w:val="BodyText"/>
      </w:pPr>
      <w:r>
        <w:rPr>
          <w:bCs/>
          <w:b/>
        </w:rPr>
        <w:t xml:space="preserve">Location:</w:t>
      </w:r>
      <w:r>
        <w:t xml:space="preserve"> </w:t>
      </w:r>
      <w:r>
        <w:t xml:space="preserve">Ortigas Avenue Extension, Pasig-Mandaluyong, Metro Manila</w:t>
      </w:r>
    </w:p>
    <w:p>
      <w:pPr>
        <w:pStyle w:val="BodyText"/>
      </w:pPr>
      <w:r>
        <w:rPr>
          <w:bCs/>
          <w:b/>
        </w:rPr>
        <w:t xml:space="preserve">Scope:</w:t>
      </w:r>
      <w:r>
        <w:t xml:space="preserve"> </w:t>
      </w:r>
      <w:r>
        <w:t xml:space="preserve">Structural Analysis, Foundation Design, and Site Supervision</w:t>
      </w:r>
    </w:p>
    <w:p>
      <w:pPr>
        <w:pStyle w:val="BodyText"/>
      </w:pPr>
      <w:r>
        <w:rPr>
          <w:bCs/>
          <w:b/>
        </w:rPr>
        <w:t xml:space="preserve">Phase:</w:t>
      </w:r>
      <w:r>
        <w:t xml:space="preserve"> </w:t>
      </w:r>
      <w:r>
        <w:t xml:space="preserve">Phase 2 - Structural Integrity Assessment</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rPr>
                <w:bCs/>
                <w:b/>
              </w:rPr>
              <w:t xml:space="preserve">Structural Engineering Design Services:</w:t>
            </w:r>
            <w:r>
              <w:br/>
            </w:r>
            <w:r>
              <w:t xml:space="preserve">Preparation of detailed structural drawings and specifications for the 20-story residential tower. This includes load calculations, seismic analysis compliant with the National Structural Code of the Philippines (NSCP), and material selection for concrete and steel reinforcement.</w:t>
            </w:r>
          </w:p>
        </w:tc>
        <w:tc>
          <w:tcPr/>
          <w:p>
            <w:pPr>
              <w:pStyle w:val="Compact"/>
              <w:jc w:val="left"/>
            </w:pPr>
            <w:r>
              <w:t xml:space="preserve">1 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rPr>
                <w:bCs/>
                <w:b/>
              </w:rPr>
              <w:t xml:space="preserve">Geotechnical Investigation &amp; Foundation Design:</w:t>
            </w:r>
            <w:r>
              <w:br/>
            </w:r>
            <w:r>
              <w:t xml:space="preserve">Review of soil bore logs from the Manila site and design of deep foundation systems (bored piles) to support the high-rise structure. Includes settlement analysis and lateral load resistance calculations specific to the Metro Manila soil profile.</w:t>
            </w:r>
          </w:p>
        </w:tc>
        <w:tc>
          <w:tcPr/>
          <w:p>
            <w:pPr>
              <w:pStyle w:val="Compact"/>
              <w:jc w:val="left"/>
            </w:pPr>
            <w:r>
              <w:t xml:space="preserve">1 Lot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rPr>
                <w:bCs/>
                <w:b/>
              </w:rPr>
              <w:t xml:space="preserve">Site Supervision &amp; Construction Administration:</w:t>
            </w:r>
            <w:r>
              <w:br/>
            </w:r>
            <w:r>
              <w:t xml:space="preserve">On-site inspection services by licensed Civil Engineers to ensure compliance with approved plans, safety standards, and quality control. Covers concrete pouring inspections, rebar verification, and weekly progress reporting for the duration of the foundation phase.</w:t>
            </w:r>
          </w:p>
        </w:tc>
        <w:tc>
          <w:tcPr/>
          <w:p>
            <w:pPr>
              <w:pStyle w:val="Compact"/>
              <w:jc w:val="left"/>
            </w:pPr>
            <w:r>
              <w:t xml:space="preserve">120 Hours</w:t>
            </w:r>
          </w:p>
        </w:tc>
        <w:tc>
          <w:tcPr/>
          <w:p>
            <w:pPr>
              <w:pStyle w:val="Compact"/>
              <w:jc w:val="left"/>
            </w:pPr>
            <w:r>
              <w:t xml:space="preserve">2,500.00</w:t>
            </w:r>
          </w:p>
        </w:tc>
        <w:tc>
          <w:tcPr/>
          <w:p>
            <w:pPr>
              <w:pStyle w:val="Compact"/>
              <w:jc w:val="left"/>
            </w:pPr>
            <w:r>
              <w:t xml:space="preserve">300,000.00</w:t>
            </w:r>
          </w:p>
        </w:tc>
      </w:tr>
      <w:tr>
        <w:tc>
          <w:tcPr/>
          <w:p>
            <w:pPr>
              <w:pStyle w:val="Compact"/>
              <w:jc w:val="left"/>
            </w:pPr>
            <w:r>
              <w:rPr>
                <w:bCs/>
                <w:b/>
              </w:rPr>
              <w:t xml:space="preserve">Permitting &amp; Regulatory Compliance:</w:t>
            </w:r>
            <w:r>
              <w:br/>
            </w:r>
            <w:r>
              <w:t xml:space="preserve">Assistance in securing necessary building permits from the Local Government Unit (LGU) of Pasig City. Includes preparation of technical documents required by the Department of Public Works and Highways (DPWH) and submission of structural computations for approval.</w:t>
            </w:r>
          </w:p>
        </w:tc>
        <w:tc>
          <w:tcPr/>
          <w:p>
            <w:pPr>
              <w:pStyle w:val="Compact"/>
              <w:jc w:val="left"/>
            </w:pPr>
            <w:r>
              <w:t xml:space="preserve">1 Lot</w:t>
            </w:r>
          </w:p>
        </w:tc>
        <w:tc>
          <w:tcPr/>
          <w:p>
            <w:pPr>
              <w:pStyle w:val="Compact"/>
              <w:jc w:val="left"/>
            </w:pPr>
            <w:r>
              <w:t xml:space="preserve">75,000.00</w:t>
            </w:r>
          </w:p>
        </w:tc>
        <w:tc>
          <w:tcPr/>
          <w:p>
            <w:pPr>
              <w:pStyle w:val="Compact"/>
              <w:jc w:val="left"/>
            </w:pPr>
            <w:r>
              <w:t xml:space="preserve">75,000.00</w:t>
            </w:r>
          </w:p>
        </w:tc>
      </w:tr>
      <w:tr>
        <w:tc>
          <w:tcPr/>
          <w:p>
            <w:pPr>
              <w:pStyle w:val="Compact"/>
              <w:jc w:val="left"/>
            </w:pPr>
            <w:r>
              <w:rPr>
                <w:bCs/>
                <w:b/>
              </w:rPr>
              <w:t xml:space="preserve">Revisions and Additional Consultations:</w:t>
            </w:r>
            <w:r>
              <w:br/>
            </w:r>
            <w:r>
              <w:t xml:space="preserve">Engineering consultations regarding design modifications requested by the client to optimize floor plans. Includes three rounds of drawing revisions and coordination meetings with the architectural team in Manila.</w:t>
            </w:r>
          </w:p>
        </w:tc>
        <w:tc>
          <w:tcPr/>
          <w:p>
            <w:pPr>
              <w:pStyle w:val="Compact"/>
              <w:jc w:val="left"/>
            </w:pPr>
            <w:r>
              <w:t xml:space="preserve">15 Hours</w:t>
            </w:r>
          </w:p>
        </w:tc>
        <w:tc>
          <w:tcPr/>
          <w:p>
            <w:pPr>
              <w:pStyle w:val="Compact"/>
              <w:jc w:val="left"/>
            </w:pPr>
            <w:r>
              <w:t xml:space="preserve">2,500.00</w:t>
            </w:r>
          </w:p>
        </w:tc>
        <w:tc>
          <w:tcPr/>
          <w:p>
            <w:pPr>
              <w:pStyle w:val="Compact"/>
              <w:jc w:val="left"/>
            </w:pPr>
            <w:r>
              <w:t xml:space="preserve">37,500.00</w:t>
            </w:r>
          </w:p>
        </w:tc>
      </w:tr>
    </w:tbl>
    <w:p>
      <w:pPr>
        <w:pStyle w:val="BodyText"/>
      </w:pPr>
      <w:r>
        <w:t xml:space="preserve">Subtotal:</w:t>
      </w:r>
      <w:r>
        <w:t xml:space="preserve"> </w:t>
      </w:r>
      <w:r>
        <w:t xml:space="preserve">1,042,500.00 PHP</w:t>
      </w:r>
    </w:p>
    <w:p>
      <w:pPr>
        <w:pStyle w:val="BodyText"/>
      </w:pPr>
      <w:r>
        <w:t xml:space="preserve">VAT (12%):</w:t>
      </w:r>
      <w:r>
        <w:t xml:space="preserve"> </w:t>
      </w:r>
      <w:r>
        <w:t xml:space="preserve">125,100.00 PHP</w:t>
      </w:r>
    </w:p>
    <w:p>
      <w:pPr>
        <w:pStyle w:val="BodyText"/>
      </w:pPr>
      <w:r>
        <w:t xml:space="preserve">Total Amount Due:</w:t>
      </w:r>
      <w:r>
        <w:t xml:space="preserve"> </w:t>
      </w:r>
      <w:r>
        <w:t xml:space="preserve">1,167,600.00 PHP</w:t>
      </w:r>
    </w:p>
    <w:bookmarkStart w:id="24" w:name="payment-instructions"/>
    <w:p>
      <w:pPr>
        <w:pStyle w:val="Heading4"/>
      </w:pPr>
      <w:r>
        <w:t xml:space="preserve">Payment Instructions:</w:t>
      </w:r>
    </w:p>
    <w:p>
      <w:pPr>
        <w:pStyle w:val="FirstParagraph"/>
      </w:pPr>
      <w:r>
        <w:t xml:space="preserve">Please remit payment via bank transfer to the following account:</w:t>
      </w:r>
    </w:p>
    <w:p>
      <w:pPr>
        <w:pStyle w:val="BodyText"/>
      </w:pPr>
      <w:r>
        <w:rPr>
          <w:bCs/>
          <w:b/>
        </w:rPr>
        <w:t xml:space="preserve">Bank Name:</w:t>
      </w:r>
      <w:r>
        <w:t xml:space="preserve"> </w:t>
      </w:r>
      <w:r>
        <w:t xml:space="preserve">BDO Unibank</w:t>
      </w:r>
    </w:p>
    <w:p>
      <w:pPr>
        <w:pStyle w:val="BodyText"/>
      </w:pPr>
      <w:r>
        <w:rPr>
          <w:bCs/>
          <w:b/>
        </w:rPr>
        <w:t xml:space="preserve">Branch:</w:t>
      </w:r>
      <w:r>
        <w:t xml:space="preserve"> </w:t>
      </w:r>
      <w:r>
        <w:t xml:space="preserve">Ayala Avenue Branch, Makati City</w:t>
      </w:r>
    </w:p>
    <w:p>
      <w:pPr>
        <w:pStyle w:val="BodyText"/>
      </w:pPr>
      <w:r>
        <w:rPr>
          <w:bCs/>
          <w:b/>
        </w:rPr>
        <w:t xml:space="preserve">Account Name:</w:t>
      </w:r>
      <w:r>
        <w:t xml:space="preserve"> </w:t>
      </w:r>
      <w:r>
        <w:t xml:space="preserve">Manila Structural &amp; Civil Engineering Corp.</w:t>
      </w:r>
    </w:p>
    <w:p>
      <w:pPr>
        <w:pStyle w:val="BodyText"/>
      </w:pPr>
      <w:r>
        <w:rPr>
          <w:bCs/>
          <w:b/>
        </w:rPr>
        <w:t xml:space="preserve">Account Number:</w:t>
      </w:r>
      <w:r>
        <w:t xml:space="preserve"> </w:t>
      </w:r>
      <w:r>
        <w:t xml:space="preserve">1234-5678-9012</w:t>
      </w:r>
    </w:p>
    <w:p>
      <w:pPr>
        <w:pStyle w:val="BodyText"/>
      </w:pPr>
      <w:r>
        <w:rPr>
          <w:bCs/>
          <w:b/>
        </w:rPr>
        <w:t xml:space="preserve">Reference:</w:t>
      </w:r>
      <w:r>
        <w:t xml:space="preserve"> </w:t>
      </w:r>
      <w:r>
        <w:t xml:space="preserve">Please use Invoice Number INV-2023-MNL-0045 as the reference.</w:t>
      </w:r>
    </w:p>
    <w:p>
      <w:pPr>
        <w:pStyle w:val="BodyText"/>
      </w:pPr>
      <w:r>
        <w:br/>
      </w:r>
    </w:p>
    <w:p>
      <w:pPr>
        <w:pStyle w:val="BodyText"/>
      </w:pPr>
      <w:r>
        <w:rPr>
          <w:bCs/>
          <w:b/>
        </w:rPr>
        <w:t xml:space="preserve">Terms and Conditions:</w:t>
      </w:r>
    </w:p>
    <w:p>
      <w:pPr>
        <w:pStyle w:val="BodyText"/>
      </w:pPr>
      <w:r>
        <w:t xml:space="preserve">1. Payment is due within 30 days from the date of this Invoice. Late payments may incur a penalty of 1.5% per month.</w:t>
      </w:r>
    </w:p>
    <w:p>
      <w:pPr>
        <w:pStyle w:val="BodyText"/>
      </w:pPr>
      <w:r>
        <w:t xml:space="preserve">2. All services are rendered by licensed Civil Engineers registered with the Professional Regulation Commission (PRC) of the Philippines.</w:t>
      </w:r>
    </w:p>
    <w:p>
      <w:pPr>
        <w:pStyle w:val="BodyText"/>
      </w:pPr>
      <w:r>
        <w:t xml:space="preserve">3. This Invoice is subject to the laws of the Republic of the Philippines.</w:t>
      </w:r>
    </w:p>
    <w:p>
      <w:pPr>
        <w:pStyle w:val="BodyText"/>
      </w:pPr>
      <w:r>
        <w:t xml:space="preserve">4. Please contact our accounts department if you have any questions regarding this Invoice.</w:t>
      </w:r>
    </w:p>
    <w:bookmarkEnd w:id="24"/>
    <w:p>
      <w:pPr>
        <w:pStyle w:val="BodyText"/>
      </w:pPr>
      <w:r>
        <w:rPr>
          <w:bCs/>
          <w:b/>
        </w:rPr>
        <w:t xml:space="preserve">Authorized by:</w:t>
      </w:r>
    </w:p>
    <w:p>
      <w:pPr>
        <w:pStyle w:val="BodyText"/>
      </w:pPr>
      <w:r>
        <w:t xml:space="preserve">Engr. Maria Santos, RCE</w:t>
      </w:r>
    </w:p>
    <w:p>
      <w:pPr>
        <w:pStyle w:val="BodyText"/>
      </w:pPr>
      <w:r>
        <w:t xml:space="preserve">Principal Civil Engineer</w:t>
      </w:r>
    </w:p>
    <w:p>
      <w:pPr>
        <w:pStyle w:val="BodyText"/>
      </w:pPr>
      <w:r>
        <w:t xml:space="preserve">Manila Structural &amp; Civil Engineering Corp.</w:t>
      </w:r>
    </w:p>
    <w:p>
      <w:pPr>
        <w:pStyle w:val="BodyText"/>
      </w:pPr>
      <w:r>
        <w:rPr>
          <w:bCs/>
          <w:b/>
        </w:rPr>
        <w:t xml:space="preserve">Received by:</w:t>
      </w:r>
    </w:p>
    <w:p>
      <w:pPr>
        <w:pStyle w:val="BodyText"/>
      </w:pPr>
      <w:r>
        <w:t xml:space="preserve">__________________________</w:t>
      </w:r>
    </w:p>
    <w:p>
      <w:pPr>
        <w:pStyle w:val="BodyText"/>
      </w:pPr>
      <w:r>
        <w:t xml:space="preserve">Name &amp; Signature</w:t>
      </w:r>
    </w:p>
    <w:p>
      <w:pPr>
        <w:pStyle w:val="BodyText"/>
      </w:pPr>
      <w:r>
        <w:t xml:space="preserve">Date Received</w:t>
      </w:r>
    </w:p>
    <w:p>
      <w:pPr>
        <w:pStyle w:val="BodyText"/>
      </w:pPr>
      <w:r>
        <w:t xml:space="preserve">Thank you for your business. We are committed to providing top-tier Civil Engineering solutions in Manila and across the Philippines.</w:t>
      </w:r>
    </w:p>
    <w:p>
      <w:pPr>
        <w:pStyle w:val="BodyText"/>
      </w:pPr>
      <w:r>
        <w:t xml:space="preserve">Manila Structural &amp; Civil Engineering Corp. | Registered Office: Makati City, Metro Manila | VAT Reg. No. 123-456-789-000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Manila, Philippines</dc:title>
  <dc:creator/>
  <dc:language>en</dc:language>
  <cp:keywords/>
  <dcterms:created xsi:type="dcterms:W3CDTF">2026-10-10T04:00:35Z</dcterms:created>
  <dcterms:modified xsi:type="dcterms:W3CDTF">2026-10-10T04:00:35Z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