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va-structural-solutions-llc"/>
    <w:p>
      <w:pPr>
        <w:pStyle w:val="Heading1"/>
      </w:pPr>
      <w:r>
        <w:t xml:space="preserve">Neva Structural Solutions LLC</w:t>
      </w:r>
    </w:p>
    <w:p>
      <w:pPr>
        <w:pStyle w:val="FirstParagraph"/>
      </w:pPr>
      <w:r>
        <w:rPr>
          <w:bCs/>
          <w:b/>
        </w:rPr>
        <w:t xml:space="preserve">Civil Engineering &amp; Infrastructure Consulting</w:t>
      </w:r>
    </w:p>
    <w:p>
      <w:pPr>
        <w:pStyle w:val="BodyText"/>
      </w:pPr>
      <w:r>
        <w:t xml:space="preserve">191025, Russia, Saint Petersburg</w:t>
      </w:r>
    </w:p>
    <w:p>
      <w:pPr>
        <w:pStyle w:val="BodyText"/>
      </w:pPr>
      <w:r>
        <w:t xml:space="preserve">Nevsky Prospect, 120, Office 4B</w:t>
      </w:r>
    </w:p>
    <w:p>
      <w:pPr>
        <w:pStyle w:val="BodyText"/>
      </w:pPr>
      <w:r>
        <w:t xml:space="preserve">Tax ID (INN): 7801234567</w:t>
      </w:r>
    </w:p>
    <w:p>
      <w:pPr>
        <w:pStyle w:val="BodyText"/>
      </w:pPr>
      <w:r>
        <w:t xml:space="preserve">Registration Number (KPP): 780101001</w:t>
      </w:r>
    </w:p>
    <w:p>
      <w:pPr>
        <w:pStyle w:val="BodyText"/>
      </w:pPr>
      <w:r>
        <w:t xml:space="preserve">Email: billing@nevastructural.ru</w:t>
      </w:r>
    </w:p>
    <w:p>
      <w:pPr>
        <w:pStyle w:val="BodyText"/>
      </w:pPr>
      <w:r>
        <w:t xml:space="preserve">Phone: +7 (812)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INV-SPB-2023-089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Petrograd Development Group</w:t>
      </w:r>
    </w:p>
    <w:p>
      <w:pPr>
        <w:pStyle w:val="BodyText"/>
      </w:pPr>
      <w:r>
        <w:t xml:space="preserve">Attn: Procurement Department</w:t>
      </w:r>
    </w:p>
    <w:p>
      <w:pPr>
        <w:pStyle w:val="BodyText"/>
      </w:pPr>
      <w:r>
        <w:t xml:space="preserve">197101, Russia, Saint Petersburg</w:t>
      </w:r>
    </w:p>
    <w:p>
      <w:pPr>
        <w:pStyle w:val="BodyText"/>
      </w:pPr>
      <w:r>
        <w:t xml:space="preserve">Fontanka Embankment, 150</w:t>
      </w:r>
    </w:p>
    <w:p>
      <w:pPr>
        <w:pStyle w:val="BodyText"/>
      </w:pPr>
      <w:r>
        <w:t xml:space="preserve">Tax ID (INN): 7809876543</w:t>
      </w:r>
    </w:p>
    <w:p>
      <w:pPr>
        <w:pStyle w:val="BodyText"/>
      </w:pPr>
      <w:r>
        <w:t xml:space="preserve">Registration Number (KPP): 780901001</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Northern District Residential Complex</w:t>
      </w:r>
    </w:p>
    <w:p>
      <w:pPr>
        <w:pStyle w:val="BodyText"/>
      </w:pPr>
      <w:r>
        <w:rPr>
          <w:bCs/>
          <w:b/>
        </w:rPr>
        <w:t xml:space="preserve">Location:</w:t>
      </w:r>
      <w:r>
        <w:t xml:space="preserve"> </w:t>
      </w:r>
      <w:r>
        <w:t xml:space="preserve">Krasnoselsky District, Saint Petersburg</w:t>
      </w:r>
    </w:p>
    <w:p>
      <w:pPr>
        <w:pStyle w:val="BodyText"/>
      </w:pPr>
      <w:r>
        <w:rPr>
          <w:bCs/>
          <w:b/>
        </w:rPr>
        <w:t xml:space="preserve">Service Period:</w:t>
      </w:r>
      <w:r>
        <w:t xml:space="preserve"> </w:t>
      </w:r>
      <w:r>
        <w:t xml:space="preserve">September 01, 2023 - September 30, 2023</w:t>
      </w:r>
    </w:p>
    <w:p>
      <w:pPr>
        <w:pStyle w:val="BodyText"/>
      </w:pPr>
      <w:r>
        <w:rPr>
          <w:bCs/>
          <w:b/>
        </w:rPr>
        <w:t xml:space="preserve">Contract Reference:</w:t>
      </w:r>
      <w:r>
        <w:t xml:space="preserve"> </w:t>
      </w:r>
      <w:r>
        <w:t xml:space="preserve">SPB-CE-2023-44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Amount (RUB)</w:t>
            </w:r>
          </w:p>
        </w:tc>
      </w:tr>
      <w:tr>
        <w:tc>
          <w:tcPr/>
          <w:p>
            <w:pPr>
              <w:pStyle w:val="Compact"/>
              <w:jc w:val="left"/>
            </w:pPr>
            <w:r>
              <w:t xml:space="preserve">1</w:t>
            </w:r>
          </w:p>
        </w:tc>
        <w:tc>
          <w:tcPr/>
          <w:p>
            <w:pPr>
              <w:pStyle w:val="Compact"/>
              <w:jc w:val="left"/>
            </w:pPr>
            <w:r>
              <w:rPr>
                <w:bCs/>
                <w:b/>
              </w:rPr>
              <w:t xml:space="preserve">Geotechnical Site Analysis and Soil Testing</w:t>
            </w:r>
            <w:r>
              <w:br/>
            </w:r>
            <w:r>
              <w:t xml:space="preserve">Comprehensive soil sampling and analysis conducted in accordance with GOST standards for the Northern District site. This includes bearing capacity assessment, groundwater level monitoring, and frost depth analysis specific to the Saint Petersburg climate conditions.</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Structural Design and Load Calculations</w:t>
            </w:r>
            <w:r>
              <w:br/>
            </w:r>
            <w:r>
              <w:t xml:space="preserve">Detailed structural engineering calculations for the foundation and load-bearing walls of the residential complex. Includes seismic resistance verification and wind load analysis tailored to the architectural plans provided.</w:t>
            </w:r>
          </w:p>
        </w:tc>
        <w:tc>
          <w:tcPr/>
          <w:p>
            <w:pPr>
              <w:pStyle w:val="Compact"/>
              <w:jc w:val="left"/>
            </w:pPr>
            <w:r>
              <w:t xml:space="preserve">120 Hrs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3</w:t>
            </w:r>
          </w:p>
        </w:tc>
        <w:tc>
          <w:tcPr/>
          <w:p>
            <w:pPr>
              <w:pStyle w:val="Compact"/>
              <w:jc w:val="left"/>
            </w:pPr>
            <w:r>
              <w:rPr>
                <w:bCs/>
                <w:b/>
              </w:rPr>
              <w:t xml:space="preserve">Construction Supervision and Quality Control</w:t>
            </w:r>
            <w:r>
              <w:br/>
            </w:r>
            <w:r>
              <w:t xml:space="preserve">On-site supervision by licensed Civil Engineers during the foundation pouring phase. Ensuring compliance with SNiP regulations and project specifications. Includes daily site reports and safety audits.</w:t>
            </w:r>
          </w:p>
        </w:tc>
        <w:tc>
          <w:tcPr/>
          <w:p>
            <w:pPr>
              <w:pStyle w:val="Compact"/>
              <w:jc w:val="left"/>
            </w:pPr>
            <w:r>
              <w:t xml:space="preserve">40 Days</w:t>
            </w:r>
          </w:p>
        </w:tc>
        <w:tc>
          <w:tcPr/>
          <w:p>
            <w:pPr>
              <w:pStyle w:val="Compact"/>
              <w:jc w:val="left"/>
            </w:pPr>
            <w:r>
              <w:t xml:space="preserve">8,000.00</w:t>
            </w:r>
          </w:p>
        </w:tc>
        <w:tc>
          <w:tcPr/>
          <w:p>
            <w:pPr>
              <w:pStyle w:val="Compact"/>
              <w:jc w:val="left"/>
            </w:pPr>
            <w:r>
              <w:t xml:space="preserve">320,000.00</w:t>
            </w:r>
          </w:p>
        </w:tc>
      </w:tr>
      <w:tr>
        <w:tc>
          <w:tcPr/>
          <w:p>
            <w:pPr>
              <w:pStyle w:val="Compact"/>
              <w:jc w:val="left"/>
            </w:pPr>
            <w:r>
              <w:t xml:space="preserve">4</w:t>
            </w:r>
          </w:p>
        </w:tc>
        <w:tc>
          <w:tcPr/>
          <w:p>
            <w:pPr>
              <w:pStyle w:val="Compact"/>
              <w:jc w:val="left"/>
            </w:pPr>
            <w:r>
              <w:rPr>
                <w:bCs/>
                <w:b/>
              </w:rPr>
              <w:t xml:space="preserve">Hydraulic Engineering and Drainage Planning</w:t>
            </w:r>
            <w:r>
              <w:br/>
            </w:r>
            <w:r>
              <w:t xml:space="preserve">Design of the stormwater drainage system and utility integration. Critical for managing water runoff in the low-lying areas of Saint Petersburg. Includes coordination with municipal water authorities.</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rPr>
                <w:bCs/>
                <w:b/>
              </w:rPr>
              <w:t xml:space="preserve">Regulatory Compliance and Permit Documentation</w:t>
            </w:r>
            <w:r>
              <w:br/>
            </w:r>
            <w:r>
              <w:t xml:space="preserve">Preparation of technical documentation required for the Committee for Urban Planning and Architecture of Saint Petersburg. Includes environmental impact assessments related to civil works.</w:t>
            </w:r>
          </w:p>
        </w:tc>
        <w:tc>
          <w:tcPr/>
          <w:p>
            <w:pPr>
              <w:pStyle w:val="Compact"/>
              <w:jc w:val="left"/>
            </w:pPr>
            <w:r>
              <w:t xml:space="preserve">1 Lot</w:t>
            </w:r>
          </w:p>
        </w:tc>
        <w:tc>
          <w:tcPr/>
          <w:p>
            <w:pPr>
              <w:pStyle w:val="Compact"/>
              <w:jc w:val="left"/>
            </w:pPr>
            <w:r>
              <w:t xml:space="preserve">60,000.00</w:t>
            </w:r>
          </w:p>
        </w:tc>
        <w:tc>
          <w:tcPr/>
          <w:p>
            <w:pPr>
              <w:pStyle w:val="Compact"/>
              <w:jc w:val="left"/>
            </w:pPr>
            <w:r>
              <w:t xml:space="preserve">60,000.00</w:t>
            </w:r>
          </w:p>
        </w:tc>
      </w:tr>
    </w:tbl>
    <w:p>
      <w:pPr>
        <w:pStyle w:val="BodyText"/>
      </w:pPr>
      <w:r>
        <w:t xml:space="preserve">Subtotal:</w:t>
      </w:r>
      <w:r>
        <w:t xml:space="preserve"> </w:t>
      </w:r>
      <w:r>
        <w:t xml:space="preserve">1,045,000.00 RUB</w:t>
      </w:r>
    </w:p>
    <w:p>
      <w:pPr>
        <w:pStyle w:val="BodyText"/>
      </w:pPr>
      <w:r>
        <w:t xml:space="preserve">VAT (20%):</w:t>
      </w:r>
      <w:r>
        <w:t xml:space="preserve"> </w:t>
      </w:r>
      <w:r>
        <w:t xml:space="preserve">209,000.00 RUB</w:t>
      </w:r>
    </w:p>
    <w:p>
      <w:pPr>
        <w:pStyle w:val="BodyText"/>
      </w:pPr>
      <w:r>
        <w:t xml:space="preserve">Discount (Early Payment):</w:t>
      </w:r>
      <w:r>
        <w:t xml:space="preserve"> </w:t>
      </w:r>
      <w:r>
        <w:t xml:space="preserve">-0.00 RUB</w:t>
      </w:r>
    </w:p>
    <w:p>
      <w:pPr>
        <w:pStyle w:val="BodyText"/>
      </w:pPr>
      <w:r>
        <w:t xml:space="preserve">TOTAL DUE:</w:t>
      </w:r>
      <w:r>
        <w:t xml:space="preserve"> </w:t>
      </w:r>
      <w:r>
        <w:t xml:space="preserve">1,254,000.00 RUB</w:t>
      </w:r>
    </w:p>
    <w:bookmarkStart w:id="24" w:name="terms-and-conditions"/>
    <w:p>
      <w:pPr>
        <w:pStyle w:val="Heading4"/>
      </w:pPr>
      <w:r>
        <w:t xml:space="preserve">Terms and Conditions:</w:t>
      </w:r>
    </w:p>
    <w:p>
      <w:pPr>
        <w:pStyle w:val="FirstParagraph"/>
      </w:pPr>
      <w:r>
        <w:t xml:space="preserve">1. Payment is due within 30 days of the invoice date. Late payments will incur a penalty interest of 0.1% per day as per the Civil Code of the Russian Federation.</w:t>
      </w:r>
      <w:r>
        <w:br/>
      </w:r>
      <w:r>
        <w:t xml:space="preserve">2. All services are rendered by certified Civil Engineers licensed to operate in the Russian Federation.</w:t>
      </w:r>
      <w:r>
        <w:br/>
      </w:r>
      <w:r>
        <w:t xml:space="preserve">3. This Invoice is subject to the laws of the Russian Federation. Any disputes arising from this agreement shall be settled in the courts of Saint Petersburg.</w:t>
      </w:r>
      <w:r>
        <w:br/>
      </w:r>
      <w:r>
        <w:t xml:space="preserve">4. Please include the Invoice Number (INV-SPB-2023-089) in the payment reference field to ensure proper allocation of funds.</w:t>
      </w:r>
      <w:r>
        <w:br/>
      </w:r>
      <w:r>
        <w:t xml:space="preserve">5. Bank details for payment are provided below.</w:t>
      </w:r>
    </w:p>
    <w:bookmarkEnd w:id="24"/>
    <w:bookmarkStart w:id="25" w:name="bank-details"/>
    <w:p>
      <w:pPr>
        <w:pStyle w:val="Heading4"/>
      </w:pPr>
      <w:r>
        <w:t xml:space="preserve">Bank Details:</w:t>
      </w:r>
    </w:p>
    <w:p>
      <w:pPr>
        <w:pStyle w:val="FirstParagraph"/>
      </w:pPr>
      <w:r>
        <w:rPr>
          <w:bCs/>
          <w:b/>
        </w:rPr>
        <w:t xml:space="preserve">Bank Name:</w:t>
      </w:r>
      <w:r>
        <w:t xml:space="preserve"> </w:t>
      </w:r>
      <w:r>
        <w:t xml:space="preserve">Sberbank of Russia</w:t>
      </w:r>
      <w:r>
        <w:br/>
      </w:r>
      <w:r>
        <w:rPr>
          <w:bCs/>
          <w:b/>
        </w:rPr>
        <w:t xml:space="preserve">Account Name:</w:t>
      </w:r>
      <w:r>
        <w:t xml:space="preserve"> </w:t>
      </w:r>
      <w:r>
        <w:t xml:space="preserve">Neva Structural Solutions LLC</w:t>
      </w:r>
      <w:r>
        <w:br/>
      </w:r>
      <w:r>
        <w:rPr>
          <w:bCs/>
          <w:b/>
        </w:rPr>
        <w:t xml:space="preserve">Account Number:</w:t>
      </w:r>
      <w:r>
        <w:t xml:space="preserve"> </w:t>
      </w:r>
      <w:r>
        <w:t xml:space="preserve">40702810000000001234</w:t>
      </w:r>
      <w:r>
        <w:br/>
      </w:r>
      <w:r>
        <w:rPr>
          <w:bCs/>
          <w:b/>
        </w:rPr>
        <w:t xml:space="preserve">BIC:</w:t>
      </w:r>
      <w:r>
        <w:t xml:space="preserve"> </w:t>
      </w:r>
      <w:r>
        <w:t xml:space="preserve">044525225</w:t>
      </w:r>
      <w:r>
        <w:br/>
      </w:r>
      <w:r>
        <w:rPr>
          <w:bCs/>
          <w:b/>
        </w:rPr>
        <w:t xml:space="preserve">Correspondent Account:</w:t>
      </w:r>
      <w:r>
        <w:t xml:space="preserve"> </w:t>
      </w:r>
      <w:r>
        <w:t xml:space="preserve">30101810400000000225</w:t>
      </w:r>
    </w:p>
    <w:bookmarkEnd w:id="25"/>
    <w:p>
      <w:pPr>
        <w:pStyle w:val="BodyText"/>
      </w:pPr>
      <w:r>
        <w:rPr>
          <w:bCs/>
          <w:b/>
        </w:rPr>
        <w:t xml:space="preserve">Authorized Signature</w:t>
      </w:r>
    </w:p>
    <w:p>
      <w:pPr>
        <w:pStyle w:val="BodyText"/>
      </w:pPr>
      <w:r>
        <w:t xml:space="preserve">Alexei Volkov</w:t>
      </w:r>
    </w:p>
    <w:p>
      <w:pPr>
        <w:pStyle w:val="BodyText"/>
      </w:pPr>
      <w:r>
        <w:t xml:space="preserve">Chief Civil Engineer</w:t>
      </w:r>
    </w:p>
    <w:p>
      <w:pPr>
        <w:pStyle w:val="BodyText"/>
      </w:pPr>
      <w:r>
        <w:t xml:space="preserve">Neva Structural Solutions LLC</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Petrograd Development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Saint Petersburg, Russia</dc:title>
  <dc:creator/>
  <dc:language>en</dc:language>
  <cp:keywords/>
  <dcterms:created xsi:type="dcterms:W3CDTF">2026-10-10T03:53:41Z</dcterms:created>
  <dcterms:modified xsi:type="dcterms:W3CDTF">2026-10-10T03:53:41Z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