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Istanbul,</w:t>
      </w:r>
      <w:r>
        <w:t xml:space="preserve"> </w:t>
      </w:r>
      <w:r>
        <w:t xml:space="preserve">Turkey</w:t>
      </w:r>
    </w:p>
    <w:bookmarkStart w:id="20" w:name="Xe07ce59a4291a90bc78c767900e927f70f92635"/>
    <w:p>
      <w:pPr>
        <w:pStyle w:val="Heading1"/>
      </w:pPr>
      <w:r>
        <w:t xml:space="preserve">Bosphorus Civil Engineering Solutions Ltd.</w:t>
      </w:r>
    </w:p>
    <w:p>
      <w:pPr>
        <w:pStyle w:val="FirstParagraph"/>
      </w:pPr>
      <w:r>
        <w:rPr>
          <w:bCs/>
          <w:b/>
        </w:rPr>
        <w:t xml:space="preserve">Professional Civil Engineering Services in Turkey Istanbul</w:t>
      </w:r>
    </w:p>
    <w:p>
      <w:pPr>
        <w:pStyle w:val="BodyText"/>
      </w:pPr>
      <w:r>
        <w:t xml:space="preserve">Address: Maslak Mahallesi, Büyükdere Caddesi No: 185, Kat: 12</w:t>
      </w:r>
    </w:p>
    <w:p>
      <w:pPr>
        <w:pStyle w:val="BodyText"/>
      </w:pPr>
      <w:r>
        <w:t xml:space="preserve">Sarıyer, 34398 Istanbul, Turkey</w:t>
      </w:r>
    </w:p>
    <w:p>
      <w:pPr>
        <w:pStyle w:val="BodyText"/>
      </w:pPr>
      <w:r>
        <w:t xml:space="preserve">Tax ID (Vergi No): 123 456 78 90</w:t>
      </w:r>
    </w:p>
    <w:p>
      <w:pPr>
        <w:pStyle w:val="BodyText"/>
      </w:pPr>
      <w:r>
        <w:t xml:space="preserve">Tax Office (Vergi Dairesi): Maslak Vergi Dairesi</w:t>
      </w:r>
    </w:p>
    <w:p>
      <w:pPr>
        <w:pStyle w:val="BodyText"/>
      </w:pPr>
      <w:r>
        <w:t xml:space="preserve">Phone: +90 (212) 555 0123</w:t>
      </w:r>
    </w:p>
    <w:p>
      <w:pPr>
        <w:pStyle w:val="BodyText"/>
      </w:pPr>
      <w:r>
        <w:t xml:space="preserve">Email: billing@bosphoruscivil.com.tr</w:t>
      </w:r>
    </w:p>
    <w:p>
      <w:pPr>
        <w:pStyle w:val="BodyText"/>
      </w:pPr>
      <w:r>
        <w:t xml:space="preserve">Chamber of Engineers Registration: O-12345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of Issue:</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Golden Horn Development Corporation</w:t>
      </w:r>
    </w:p>
    <w:p>
      <w:pPr>
        <w:pStyle w:val="BodyText"/>
      </w:pPr>
      <w:r>
        <w:t xml:space="preserve">Attn: Mr. Ahmet Yılmaz, Chief Project Officer</w:t>
      </w:r>
    </w:p>
    <w:p>
      <w:pPr>
        <w:pStyle w:val="BodyText"/>
      </w:pPr>
      <w:r>
        <w:t xml:space="preserve">Address: Levent Mahallesi, Nispetiye Caddesi No: 45</w:t>
      </w:r>
    </w:p>
    <w:p>
      <w:pPr>
        <w:pStyle w:val="BodyText"/>
      </w:pPr>
      <w:r>
        <w:t xml:space="preserve">Beşiktaş, 34330 Istanbul, Turkey</w:t>
      </w:r>
    </w:p>
    <w:p>
      <w:pPr>
        <w:pStyle w:val="BodyText"/>
      </w:pPr>
      <w:r>
        <w:t xml:space="preserve">Tax ID (Vergi No): 987 654 32 10</w:t>
      </w:r>
    </w:p>
    <w:p>
      <w:pPr>
        <w:pStyle w:val="BodyText"/>
      </w:pPr>
      <w:r>
        <w:t xml:space="preserve">Tax Office (Vergi Dairesi): Beşiktaş Vergi Dairesi</w:t>
      </w:r>
    </w:p>
    <w:p>
      <w:pPr>
        <w:pStyle w:val="BodyText"/>
      </w:pPr>
      <w:r>
        <w:t xml:space="preserve">Project Reference: GH-RES-2024-001 (Golden Horn Residential Complex)</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Project Name:</w:t>
            </w:r>
          </w:p>
        </w:tc>
        <w:tc>
          <w:tcPr/>
          <w:p>
            <w:pPr>
              <w:pStyle w:val="Compact"/>
              <w:jc w:val="left"/>
            </w:pPr>
            <w:r>
              <w:t xml:space="preserve">Golden Horn Residential Complex - Phase II Structural Engineering</w:t>
            </w:r>
          </w:p>
        </w:tc>
      </w:tr>
      <w:tr>
        <w:tc>
          <w:tcPr/>
          <w:p>
            <w:pPr>
              <w:pStyle w:val="Compact"/>
              <w:jc w:val="left"/>
            </w:pPr>
            <w:r>
              <w:t xml:space="preserve">Service Period:</w:t>
            </w:r>
          </w:p>
        </w:tc>
        <w:tc>
          <w:tcPr/>
          <w:p>
            <w:pPr>
              <w:pStyle w:val="Compact"/>
              <w:jc w:val="left"/>
            </w:pPr>
            <w:r>
              <w:t xml:space="preserve">December 1, 2023 - January 14, 2024</w:t>
            </w:r>
          </w:p>
        </w:tc>
      </w:tr>
      <w:tr>
        <w:tc>
          <w:tcPr/>
          <w:p>
            <w:pPr>
              <w:pStyle w:val="Compact"/>
              <w:jc w:val="left"/>
            </w:pPr>
            <w:r>
              <w:t xml:space="preserve">Location:</w:t>
            </w:r>
          </w:p>
        </w:tc>
        <w:tc>
          <w:tcPr/>
          <w:p>
            <w:pPr>
              <w:pStyle w:val="Compact"/>
              <w:jc w:val="left"/>
            </w:pPr>
            <w:r>
              <w:t xml:space="preserve">Kartal District, Istanbul, Turkey</w:t>
            </w:r>
          </w:p>
        </w:tc>
      </w:tr>
      <w:tr>
        <w:tc>
          <w:tcPr/>
          <w:p>
            <w:pPr>
              <w:pStyle w:val="Compact"/>
              <w:jc w:val="left"/>
            </w:pPr>
            <w:r>
              <w:t xml:space="preserve">Currency:</w:t>
            </w:r>
          </w:p>
        </w:tc>
        <w:tc>
          <w:tcPr/>
          <w:p>
            <w:pPr>
              <w:pStyle w:val="Compact"/>
              <w:jc w:val="left"/>
            </w:pPr>
            <w:r>
              <w:t xml:space="preserve">Turkish Lira (TRY)</w:t>
            </w:r>
          </w:p>
        </w:tc>
      </w:tr>
      <w:tr>
        <w:tc>
          <w:tcPr/>
          <w:p>
            <w:pPr>
              <w:pStyle w:val="Compact"/>
              <w:jc w:val="left"/>
            </w:pPr>
            <w:r>
              <w:t xml:space="preserve">Invoice Type:</w:t>
            </w:r>
          </w:p>
        </w:tc>
        <w:tc>
          <w:tcPr/>
          <w:p>
            <w:pPr>
              <w:pStyle w:val="Compact"/>
              <w:jc w:val="left"/>
            </w:pPr>
            <w:r>
              <w:t xml:space="preserve">Professional Services - Civil Engineering Consultation</w:t>
            </w:r>
          </w:p>
        </w:tc>
      </w:tr>
    </w:tbl>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Civil Engineering Services</w:t>
            </w:r>
          </w:p>
        </w:tc>
        <w:tc>
          <w:tcPr/>
          <w:p>
            <w:pPr>
              <w:pStyle w:val="Compact"/>
              <w:jc w:val="left"/>
            </w:pPr>
            <w:r>
              <w:t xml:space="preserve">Quantity</w:t>
            </w:r>
          </w:p>
        </w:tc>
        <w:tc>
          <w:tcPr/>
          <w:p>
            <w:pPr>
              <w:pStyle w:val="Compact"/>
              <w:jc w:val="left"/>
            </w:pPr>
            <w:r>
              <w:t xml:space="preserve">Unit 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rPr>
                <w:bCs/>
                <w:b/>
              </w:rPr>
              <w:t xml:space="preserve">Structural Analysis and Design Services</w:t>
            </w:r>
            <w:r>
              <w:br/>
            </w:r>
            <w:r>
              <w:t xml:space="preserve">Comprehensive structural analysis for 18-story residential tower including seismic load calculations per Turkish Building Earthquake Code (TBEC 2018). Detailed structural drawings and specifications for reinforced concrete framework.</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2</w:t>
            </w:r>
          </w:p>
        </w:tc>
        <w:tc>
          <w:tcPr/>
          <w:p>
            <w:pPr>
              <w:pStyle w:val="Compact"/>
              <w:jc w:val="left"/>
            </w:pPr>
            <w:r>
              <w:rPr>
                <w:bCs/>
                <w:b/>
              </w:rPr>
              <w:t xml:space="preserve">Geotechnical Investigation Report Review</w:t>
            </w:r>
            <w:r>
              <w:br/>
            </w:r>
            <w:r>
              <w:t xml:space="preserve">Professional review and analysis of soil investigation reports conducted at the Istanbul construction site. Foundation design recommendations including deep foundation systems suitable for the Marmara region geological conditions.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Construction Site Supervision and Quality Control</w:t>
            </w:r>
            <w:r>
              <w:br/>
            </w:r>
            <w:r>
              <w:t xml:space="preserve">On-site civil engineering supervision services for foundation works and structural concrete pouring. Weekly site visits, quality control inspections, and progress reports in accordance with Turkish construction regulations and international engineering standards.</w:t>
            </w:r>
          </w:p>
        </w:tc>
        <w:tc>
          <w:tcPr/>
          <w:p>
            <w:pPr>
              <w:pStyle w:val="Compact"/>
              <w:jc w:val="left"/>
            </w:pPr>
            <w:r>
              <w:t xml:space="preserve">6</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4</w:t>
            </w:r>
          </w:p>
        </w:tc>
        <w:tc>
          <w:tcPr/>
          <w:p>
            <w:pPr>
              <w:pStyle w:val="Compact"/>
              <w:jc w:val="left"/>
            </w:pPr>
            <w:r>
              <w:rPr>
                <w:bCs/>
                <w:b/>
              </w:rPr>
              <w:t xml:space="preserve">Building Permit Documentation and Technical Submissions</w:t>
            </w:r>
            <w:r>
              <w:br/>
            </w:r>
            <w:r>
              <w:t xml:space="preserve">Preparation of all required technical documentation for building permit applications with Istanbul Metropolitan Municipality (İBB). Coordination with local authorities and submission of structural calculations, drawings, and compliance certificates.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rPr>
                <w:bCs/>
                <w:b/>
              </w:rPr>
              <w:t xml:space="preserve">Fire Safety and Structural Integrity Assessment</w:t>
            </w:r>
            <w:r>
              <w:br/>
            </w:r>
            <w:r>
              <w:t xml:space="preserve">Specialized civil engineering assessment for fire safety compliance including structural fire resistance calculations. Review of fire compartmentalization and emergency evacuation route structural requirements per Turkish Fire Safety Regulations.</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6</w:t>
            </w:r>
          </w:p>
        </w:tc>
        <w:tc>
          <w:tcPr/>
          <w:p>
            <w:pPr>
              <w:pStyle w:val="Compact"/>
              <w:jc w:val="left"/>
            </w:pPr>
            <w:r>
              <w:rPr>
                <w:bCs/>
                <w:b/>
              </w:rPr>
              <w:t xml:space="preserve">Underground Parking Structure Design</w:t>
            </w:r>
            <w:r>
              <w:br/>
            </w:r>
            <w:r>
              <w:t xml:space="preserve">Detailed structural design for three-level underground parking facility including waterproofing specifications, drainage systems, and ventilation shaft structural elements. Load analysis for vehicle traffic and soil pressure calculations.</w:t>
            </w:r>
          </w:p>
        </w:tc>
        <w:tc>
          <w:tcPr/>
          <w:p>
            <w:pPr>
              <w:pStyle w:val="Compact"/>
              <w:jc w:val="left"/>
            </w:pPr>
            <w:r>
              <w:t xml:space="preserve">1</w:t>
            </w:r>
          </w:p>
        </w:tc>
        <w:tc>
          <w:tcPr/>
          <w:p>
            <w:pPr>
              <w:pStyle w:val="Compact"/>
              <w:jc w:val="left"/>
            </w:pPr>
            <w:r>
              <w:t xml:space="preserve">67,500.00</w:t>
            </w:r>
          </w:p>
        </w:tc>
        <w:tc>
          <w:tcPr/>
          <w:p>
            <w:pPr>
              <w:pStyle w:val="Compact"/>
              <w:jc w:val="left"/>
            </w:pPr>
            <w:r>
              <w:t xml:space="preserve">67,500.00</w:t>
            </w:r>
          </w:p>
        </w:tc>
      </w:tr>
      <w:tr>
        <w:tc>
          <w:tcPr/>
          <w:p>
            <w:pPr>
              <w:pStyle w:val="Compact"/>
              <w:jc w:val="left"/>
            </w:pPr>
            <w:r>
              <w:t xml:space="preserve">7</w:t>
            </w:r>
          </w:p>
        </w:tc>
        <w:tc>
          <w:tcPr/>
          <w:p>
            <w:pPr>
              <w:pStyle w:val="Compact"/>
              <w:jc w:val="left"/>
            </w:pPr>
            <w:r>
              <w:rPr>
                <w:bCs/>
                <w:b/>
              </w:rPr>
              <w:t xml:space="preserve">Material Testing Coordination and Certification</w:t>
            </w:r>
            <w:r>
              <w:br/>
            </w:r>
            <w:r>
              <w:t xml:space="preserve">Coordination with accredited Turkish laboratories for concrete strength testing, steel reinforcement quality verification, and material compliance certification. Preparation of technical reports documenting all test results and material approvals.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8</w:t>
            </w:r>
          </w:p>
        </w:tc>
        <w:tc>
          <w:tcPr/>
          <w:p>
            <w:pPr>
              <w:pStyle w:val="Compact"/>
              <w:jc w:val="left"/>
            </w:pPr>
            <w:r>
              <w:rPr>
                <w:bCs/>
                <w:b/>
              </w:rPr>
              <w:t xml:space="preserve">Project Management and Engineering Consultation</w:t>
            </w:r>
            <w:r>
              <w:br/>
            </w:r>
            <w:r>
              <w:t xml:space="preserve">Senior civil engineer consultation services including project scheduling, cost estimation review, contractor coordination meetings, and technical problem resolution. Regular progress meetings with stakeholders in Istanbul office and construction site.</w:t>
            </w:r>
          </w:p>
        </w:tc>
        <w:tc>
          <w:tcPr/>
          <w:p>
            <w:pPr>
              <w:pStyle w:val="Compact"/>
              <w:jc w:val="left"/>
            </w:pPr>
            <w:r>
              <w:t xml:space="preserve">40</w:t>
            </w:r>
          </w:p>
        </w:tc>
        <w:tc>
          <w:tcPr/>
          <w:p>
            <w:pPr>
              <w:pStyle w:val="Compact"/>
              <w:jc w:val="left"/>
            </w:pPr>
            <w:r>
              <w:t xml:space="preserve">750.00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303,500.00 TRY</w:t>
            </w:r>
          </w:p>
        </w:tc>
      </w:tr>
      <w:tr>
        <w:tc>
          <w:tcPr/>
          <w:p>
            <w:pPr>
              <w:pStyle w:val="Compact"/>
              <w:jc w:val="left"/>
            </w:pPr>
            <w:r>
              <w:t xml:space="preserve">VAT (KDV) 20%:</w:t>
            </w:r>
          </w:p>
        </w:tc>
        <w:tc>
          <w:tcPr/>
          <w:p>
            <w:pPr>
              <w:pStyle w:val="Compact"/>
              <w:jc w:val="left"/>
            </w:pPr>
            <w:r>
              <w:t xml:space="preserve">60,700.00 TRY</w:t>
            </w:r>
          </w:p>
        </w:tc>
      </w:tr>
      <w:tr>
        <w:tc>
          <w:tcPr/>
          <w:p>
            <w:pPr>
              <w:pStyle w:val="Compact"/>
              <w:jc w:val="left"/>
            </w:pPr>
            <w:r>
              <w:t xml:space="preserve">Stamp Duty (Damga Vergisi):</w:t>
            </w:r>
          </w:p>
        </w:tc>
        <w:tc>
          <w:tcPr/>
          <w:p>
            <w:pPr>
              <w:pStyle w:val="Compact"/>
              <w:jc w:val="left"/>
            </w:pPr>
            <w:r>
              <w:t xml:space="preserve">1,517.50 TRY</w:t>
            </w:r>
          </w:p>
        </w:tc>
      </w:tr>
      <w:tr>
        <w:tc>
          <w:tcPr/>
          <w:p>
            <w:pPr>
              <w:pStyle w:val="Compact"/>
              <w:jc w:val="left"/>
            </w:pPr>
            <w:r>
              <w:t xml:space="preserve">GRAND TOTAL:</w:t>
            </w:r>
          </w:p>
        </w:tc>
        <w:tc>
          <w:tcPr/>
          <w:p>
            <w:pPr>
              <w:pStyle w:val="Compact"/>
              <w:jc w:val="left"/>
            </w:pPr>
            <w:r>
              <w:t xml:space="preserve">365,717.50 TRY</w:t>
            </w:r>
          </w:p>
        </w:tc>
      </w:tr>
    </w:tbl>
    <w:bookmarkStart w:id="23" w:name="payment-instructions"/>
    <w:p>
      <w:pPr>
        <w:pStyle w:val="Heading3"/>
      </w:pPr>
      <w:r>
        <w:t xml:space="preserve">Payment Instructions:</w:t>
      </w:r>
    </w:p>
    <w:p>
      <w:pPr>
        <w:pStyle w:val="FirstParagraph"/>
      </w:pPr>
      <w:r>
        <w:rPr>
          <w:bCs/>
          <w:b/>
        </w:rPr>
        <w:t xml:space="preserve">Bank Name:</w:t>
      </w:r>
      <w:r>
        <w:t xml:space="preserve"> </w:t>
      </w:r>
      <w:r>
        <w:t xml:space="preserve">İş Bankası A.Ş.</w:t>
      </w:r>
    </w:p>
    <w:p>
      <w:pPr>
        <w:pStyle w:val="BodyText"/>
      </w:pPr>
      <w:r>
        <w:rPr>
          <w:bCs/>
          <w:b/>
        </w:rPr>
        <w:t xml:space="preserve">Branch:</w:t>
      </w:r>
      <w:r>
        <w:t xml:space="preserve"> </w:t>
      </w:r>
      <w:r>
        <w:t xml:space="preserve">Maslak Şubesi, Istanbul, Turkey</w:t>
      </w:r>
    </w:p>
    <w:p>
      <w:pPr>
        <w:pStyle w:val="BodyText"/>
      </w:pPr>
      <w:r>
        <w:rPr>
          <w:bCs/>
          <w:b/>
        </w:rPr>
        <w:t xml:space="preserve">Account Name:</w:t>
      </w:r>
      <w:r>
        <w:t xml:space="preserve"> </w:t>
      </w:r>
      <w:r>
        <w:t xml:space="preserve">Bosphorus Civil Engineering Solutions Ltd.</w:t>
      </w:r>
    </w:p>
    <w:p>
      <w:pPr>
        <w:pStyle w:val="BodyText"/>
      </w:pPr>
      <w:r>
        <w:rPr>
          <w:bCs/>
          <w:b/>
        </w:rPr>
        <w:t xml:space="preserve">Account Number:</w:t>
      </w:r>
      <w:r>
        <w:t xml:space="preserve"> </w:t>
      </w:r>
      <w:r>
        <w:t xml:space="preserve">TR12 0006 4000 0012 3456 7890 12</w:t>
      </w:r>
    </w:p>
    <w:p>
      <w:pPr>
        <w:pStyle w:val="BodyText"/>
      </w:pPr>
      <w:r>
        <w:rPr>
          <w:bCs/>
          <w:b/>
        </w:rPr>
        <w:t xml:space="preserve">SWIFT/BIC Code:</w:t>
      </w:r>
      <w:r>
        <w:t xml:space="preserve"> </w:t>
      </w:r>
      <w:r>
        <w:t xml:space="preserve">ISBKTRIS</w:t>
      </w:r>
    </w:p>
    <w:p>
      <w:pPr>
        <w:pStyle w:val="BodyText"/>
      </w:pPr>
      <w:r>
        <w:rPr>
          <w:bCs/>
          <w:b/>
        </w:rPr>
        <w:t xml:space="preserve">IBAN:</w:t>
      </w:r>
      <w:r>
        <w:t xml:space="preserve"> </w:t>
      </w:r>
      <w:r>
        <w:t xml:space="preserve">TR12 0006 4000 0012 3456 7890 12</w:t>
      </w:r>
    </w:p>
    <w:p>
      <w:pPr>
        <w:pStyle w:val="BodyText"/>
      </w:pPr>
      <w:r>
        <w:rPr>
          <w:bCs/>
          <w:b/>
        </w:rPr>
        <w:t xml:space="preserve">Reference:</w:t>
      </w:r>
      <w:r>
        <w:t xml:space="preserve"> </w:t>
      </w:r>
      <w:r>
        <w:t xml:space="preserve">Please include Invoice Number INV-2024-0847 in payment reference</w:t>
      </w:r>
    </w:p>
    <w:p>
      <w:pPr>
        <w:pStyle w:val="BodyText"/>
      </w:pPr>
      <w:r>
        <w:rPr>
          <w:bCs/>
          <w:b/>
        </w:rPr>
        <w:t xml:space="preserve">Payment Deadline:</w:t>
      </w:r>
      <w:r>
        <w:t xml:space="preserve"> </w:t>
      </w:r>
      <w:r>
        <w:t xml:space="preserve">February 14, 2024</w:t>
      </w:r>
    </w:p>
    <w:p>
      <w:pPr>
        <w:pStyle w:val="BodyText"/>
      </w:pPr>
      <w:r>
        <w:rPr>
          <w:bCs/>
          <w:b/>
        </w:rPr>
        <w:t xml:space="preserve">Late Payment:</w:t>
      </w:r>
      <w:r>
        <w:t xml:space="preserve"> </w:t>
      </w:r>
      <w:r>
        <w:t xml:space="preserve">Interest of 2% per month will be applied to overdue amounts in accordance with Turkish Commercial Code.</w:t>
      </w:r>
    </w:p>
    <w:bookmarkEnd w:id="23"/>
    <w:bookmarkStart w:id="24" w:name="important-notes-and-terms"/>
    <w:p>
      <w:pPr>
        <w:pStyle w:val="Heading3"/>
      </w:pPr>
      <w:r>
        <w:t xml:space="preserve">Important Notes and Terms:</w:t>
      </w:r>
    </w:p>
    <w:p>
      <w:pPr>
        <w:numPr>
          <w:ilvl w:val="0"/>
          <w:numId w:val="1001"/>
        </w:numPr>
        <w:pStyle w:val="Compact"/>
      </w:pPr>
      <w:r>
        <w:t xml:space="preserve">This invoice is issued in accordance with Turkish Tax Law and regulations governing professional engineering services in Turkey Istanbul.</w:t>
      </w:r>
    </w:p>
    <w:p>
      <w:pPr>
        <w:numPr>
          <w:ilvl w:val="0"/>
          <w:numId w:val="1001"/>
        </w:numPr>
        <w:pStyle w:val="Compact"/>
      </w:pPr>
      <w:r>
        <w:t xml:space="preserve">All civil engineering services have been performed by licensed civil engineers registered with the Istanbul Chamber of Civil Engineers (İMMO).</w:t>
      </w:r>
    </w:p>
    <w:p>
      <w:pPr>
        <w:numPr>
          <w:ilvl w:val="0"/>
          <w:numId w:val="1001"/>
        </w:numPr>
        <w:pStyle w:val="Compact"/>
      </w:pPr>
      <w:r>
        <w:t xml:space="preserve">Structural designs comply with Turkish Building Earthquake Code (TBEC 2018), Turkish Concrete Design Code (TBDY), and relevant international standards.</w:t>
      </w:r>
    </w:p>
    <w:p>
      <w:pPr>
        <w:numPr>
          <w:ilvl w:val="0"/>
          <w:numId w:val="1001"/>
        </w:numPr>
        <w:pStyle w:val="Compact"/>
      </w:pPr>
      <w:r>
        <w:t xml:space="preserve">Payment is due within 30 days from the invoice date. Please remit payment to the bank account specified above.</w:t>
      </w:r>
    </w:p>
    <w:p>
      <w:pPr>
        <w:numPr>
          <w:ilvl w:val="0"/>
          <w:numId w:val="1001"/>
        </w:numPr>
        <w:pStyle w:val="Compact"/>
      </w:pPr>
      <w:r>
        <w:t xml:space="preserve">This invoice is valid for tax deduction purposes in Turkey. Please retain for your accounting records.</w:t>
      </w:r>
    </w:p>
    <w:p>
      <w:pPr>
        <w:numPr>
          <w:ilvl w:val="0"/>
          <w:numId w:val="1001"/>
        </w:numPr>
        <w:pStyle w:val="Compact"/>
      </w:pPr>
      <w:r>
        <w:t xml:space="preserve">Any disputes regarding this invoice should be addressed within 15 days of receipt. After this period, the invoice will be considered accepted.</w:t>
      </w:r>
    </w:p>
    <w:p>
      <w:pPr>
        <w:numPr>
          <w:ilvl w:val="0"/>
          <w:numId w:val="1001"/>
        </w:numPr>
        <w:pStyle w:val="Compact"/>
      </w:pPr>
      <w:r>
        <w:t xml:space="preserve">All engineering calculations, drawings, and reports remain the intellectual property of Bosphorus Civil Engineering Solutions Ltd. until full payment is received.</w:t>
      </w:r>
    </w:p>
    <w:p>
      <w:pPr>
        <w:numPr>
          <w:ilvl w:val="0"/>
          <w:numId w:val="1001"/>
        </w:numPr>
        <w:pStyle w:val="Compact"/>
      </w:pPr>
      <w:r>
        <w:t xml:space="preserve">For international payments, please consider exchange rate fluctuations and bank transfer fees which are the responsibility of the client.</w:t>
      </w:r>
    </w:p>
    <w:p>
      <w:pPr>
        <w:numPr>
          <w:ilvl w:val="0"/>
          <w:numId w:val="1001"/>
        </w:numPr>
        <w:pStyle w:val="Compact"/>
      </w:pPr>
      <w:r>
        <w:t xml:space="preserve">This invoice covers professional services only. Material costs, laboratory fees, and third-party services are billed separately.</w:t>
      </w:r>
    </w:p>
    <w:p>
      <w:pPr>
        <w:numPr>
          <w:ilvl w:val="0"/>
          <w:numId w:val="1001"/>
        </w:numPr>
        <w:pStyle w:val="Compact"/>
      </w:pPr>
      <w:r>
        <w:t xml:space="preserve">Our civil engineering team is available for technical consultations regarding this project throughout the construction period in Istanbul.</w:t>
      </w:r>
    </w:p>
    <w:bookmarkEnd w:id="24"/>
    <w:p>
      <w:pPr>
        <w:pStyle w:val="FirstParagraph"/>
      </w:pPr>
      <w:r>
        <w:rPr>
          <w:bCs/>
          <w:b/>
        </w:rPr>
        <w:t xml:space="preserve">Authorized Signature</w:t>
      </w:r>
    </w:p>
    <w:p>
      <w:pPr>
        <w:pStyle w:val="BodyText"/>
      </w:pPr>
      <w:r>
        <w:t xml:space="preserve">Muhammed Demir, P.Eng.</w:t>
      </w:r>
    </w:p>
    <w:p>
      <w:pPr>
        <w:pStyle w:val="BodyText"/>
      </w:pPr>
      <w:r>
        <w:t xml:space="preserve">Chief Civil Engineer</w:t>
      </w:r>
    </w:p>
    <w:p>
      <w:pPr>
        <w:pStyle w:val="BodyText"/>
      </w:pPr>
      <w:r>
        <w:t xml:space="preserve">Bosphorus Civil Engineering Solutions Ltd.</w:t>
      </w:r>
    </w:p>
    <w:p>
      <w:pPr>
        <w:pStyle w:val="BodyText"/>
      </w:pPr>
      <w:r>
        <w:t xml:space="preserve">Engineer Registration No: O-12345</w:t>
      </w:r>
    </w:p>
    <w:p>
      <w:pPr>
        <w:pStyle w:val="BodyText"/>
      </w:pPr>
      <w:r>
        <w:rPr>
          <w:bCs/>
          <w:b/>
        </w:rPr>
        <w:t xml:space="preserve">Client Acceptance</w:t>
      </w:r>
    </w:p>
    <w:p>
      <w:pPr>
        <w:pStyle w:val="BodyText"/>
      </w:pPr>
      <w:r>
        <w:t xml:space="preserve">_________________________</w:t>
      </w:r>
    </w:p>
    <w:p>
      <w:pPr>
        <w:pStyle w:val="BodyText"/>
      </w:pPr>
      <w:r>
        <w:t xml:space="preserve">Name and Signature</w:t>
      </w:r>
    </w:p>
    <w:p>
      <w:pPr>
        <w:pStyle w:val="BodyText"/>
      </w:pPr>
      <w:r>
        <w:t xml:space="preserve">Date: _________________</w:t>
      </w:r>
    </w:p>
    <w:p>
      <w:pPr>
        <w:pStyle w:val="BodyText"/>
      </w:pPr>
      <w:r>
        <w:t xml:space="preserve">Bosphorus Civil Engineering Solutions Ltd. | Professional Civil Engineering Services in Turkey Istanbul</w:t>
      </w:r>
    </w:p>
    <w:p>
      <w:pPr>
        <w:pStyle w:val="BodyText"/>
      </w:pPr>
      <w:r>
        <w:t xml:space="preserve">Member of Istanbul Chamber of Civil Engineers (İMMO) | ISO 9001:2015 Certified</w:t>
      </w:r>
    </w:p>
    <w:p>
      <w:pPr>
        <w:pStyle w:val="BodyText"/>
      </w:pPr>
      <w:r>
        <w:t xml:space="preserve">This invoice is generated electronically and is valid without physical signature in accordance with Turkish Electronic Invoice (E-Fatura) regulations.</w:t>
      </w:r>
    </w:p>
    <w:p>
      <w:pPr>
        <w:pStyle w:val="BodyText"/>
      </w:pPr>
      <w:r>
        <w:t xml:space="preserve">Thank you for choosing our civil engineering services for your Istanbul construction project.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Istanbul, Turkey</dc:title>
  <dc:creator/>
  <dc:language>en</dc:language>
  <cp:keywords/>
  <dcterms:created xsi:type="dcterms:W3CDTF">2026-10-10T06:25:07Z</dcterms:created>
  <dcterms:modified xsi:type="dcterms:W3CDTF">2026-10-10T06:25:07Z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