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Civil</w:t>
      </w:r>
      <w:r>
        <w:t xml:space="preserve"> </w:t>
      </w:r>
      <w:r>
        <w:t xml:space="preserve">Engineering</w:t>
      </w:r>
      <w:r>
        <w:t xml:space="preserve"> </w:t>
      </w:r>
      <w:r>
        <w:t xml:space="preserve">Services</w:t>
      </w:r>
      <w:r>
        <w:t xml:space="preserve"> </w:t>
      </w:r>
      <w:r>
        <w:t xml:space="preserve">-</w:t>
      </w:r>
      <w:r>
        <w:t xml:space="preserve"> </w:t>
      </w:r>
      <w:r>
        <w:t xml:space="preserve">Tashkent,</w:t>
      </w:r>
      <w:r>
        <w:t xml:space="preserve"> </w:t>
      </w:r>
      <w:r>
        <w:t xml:space="preserve">Uzbekistan</w:t>
      </w:r>
    </w:p>
    <w:bookmarkStart w:id="20" w:name="tashkent-civil-engineering-solutions"/>
    <w:p>
      <w:pPr>
        <w:pStyle w:val="Heading1"/>
      </w:pPr>
      <w:r>
        <w:t xml:space="preserve">Tashkent Civil Engineering Solutions</w:t>
      </w:r>
    </w:p>
    <w:p>
      <w:pPr>
        <w:pStyle w:val="FirstParagraph"/>
      </w:pPr>
      <w:r>
        <w:rPr>
          <w:bCs/>
          <w:b/>
        </w:rPr>
        <w:t xml:space="preserve">License No:</w:t>
      </w:r>
      <w:r>
        <w:t xml:space="preserve"> </w:t>
      </w:r>
      <w:r>
        <w:t xml:space="preserve">UZ-CE-2023-8842</w:t>
      </w:r>
    </w:p>
    <w:p>
      <w:pPr>
        <w:pStyle w:val="BodyText"/>
      </w:pPr>
      <w:r>
        <w:t xml:space="preserve">Chilonzor District, 45 Amir Temur Avenue</w:t>
      </w:r>
    </w:p>
    <w:p>
      <w:pPr>
        <w:pStyle w:val="BodyText"/>
      </w:pPr>
      <w:r>
        <w:t xml:space="preserve">Tashkent, Uzbekistan 100000</w:t>
      </w:r>
    </w:p>
    <w:p>
      <w:pPr>
        <w:pStyle w:val="BodyText"/>
      </w:pPr>
      <w:r>
        <w:t xml:space="preserve">Tel: +998 71 200 00 00 | Email: billing@tashkentcivil.uz</w:t>
      </w:r>
    </w:p>
    <w:p>
      <w:pPr>
        <w:pStyle w:val="BodyText"/>
      </w:pPr>
      <w:r>
        <w:t xml:space="preserve">VAT Registration: 1234567890</w:t>
      </w:r>
    </w:p>
    <w:bookmarkEnd w:id="20"/>
    <w:bookmarkStart w:id="21" w:name="invoice"/>
    <w:p>
      <w:pPr>
        <w:pStyle w:val="Heading2"/>
      </w:pPr>
      <w:r>
        <w:t xml:space="preserve">INVOICE</w:t>
      </w:r>
    </w:p>
    <w:p>
      <w:pPr>
        <w:pStyle w:val="FirstParagraph"/>
      </w:pPr>
      <w:r>
        <w:t xml:space="preserve">Invoice #: INV-TK-2023-0098</w:t>
      </w:r>
    </w:p>
    <w:p>
      <w:pPr>
        <w:pStyle w:val="BodyText"/>
      </w:pPr>
      <w:r>
        <w:t xml:space="preserve">Date: October 24, 2023</w:t>
      </w:r>
    </w:p>
    <w:p>
      <w:pPr>
        <w:pStyle w:val="BodyText"/>
      </w:pPr>
      <w:r>
        <w:t xml:space="preserve">Due Date: November 07, 2023</w:t>
      </w:r>
    </w:p>
    <w:p>
      <w:pPr>
        <w:pStyle w:val="BodyText"/>
      </w:pPr>
      <w:r>
        <w:t xml:space="preserve">Project Ref: TSKT-HIGHWAY-EXP-04</w:t>
      </w:r>
    </w:p>
    <w:bookmarkEnd w:id="21"/>
    <w:bookmarkStart w:id="22" w:name="bill-to"/>
    <w:p>
      <w:pPr>
        <w:pStyle w:val="Heading3"/>
      </w:pPr>
      <w:r>
        <w:t xml:space="preserve">Bill To:</w:t>
      </w:r>
    </w:p>
    <w:p>
      <w:pPr>
        <w:pStyle w:val="FirstParagraph"/>
      </w:pPr>
      <w:r>
        <w:rPr>
          <w:bCs/>
          <w:b/>
        </w:rPr>
        <w:t xml:space="preserve">Uzbekistan State Construction Committee</w:t>
      </w:r>
    </w:p>
    <w:p>
      <w:pPr>
        <w:pStyle w:val="BodyText"/>
      </w:pPr>
      <w:r>
        <w:t xml:space="preserve">Department of Infrastructure Development</w:t>
      </w:r>
    </w:p>
    <w:p>
      <w:pPr>
        <w:pStyle w:val="BodyText"/>
      </w:pPr>
      <w:r>
        <w:t xml:space="preserve">Yunusabad District, 12 Navoi Street</w:t>
      </w:r>
    </w:p>
    <w:p>
      <w:pPr>
        <w:pStyle w:val="BodyText"/>
      </w:pPr>
      <w:r>
        <w:t xml:space="preserve">Tashkent, Uzbekistan 100084</w:t>
      </w:r>
    </w:p>
    <w:p>
      <w:pPr>
        <w:pStyle w:val="BodyText"/>
      </w:pPr>
      <w:r>
        <w:t xml:space="preserve">Attn: Procurement Department</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Civil Engineering Services</w:t>
            </w:r>
          </w:p>
        </w:tc>
        <w:tc>
          <w:tcPr/>
          <w:p>
            <w:pPr>
              <w:pStyle w:val="Compact"/>
              <w:jc w:val="left"/>
            </w:pPr>
            <w:r>
              <w:t xml:space="preserve">Quantity / Hours</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rPr>
                <w:bCs/>
                <w:b/>
              </w:rPr>
              <w:t xml:space="preserve">Geotechnical Site Investigation &amp; Soil Analysis</w:t>
            </w:r>
            <w:r>
              <w:br/>
            </w:r>
            <w:r>
              <w:t xml:space="preserve">Comprehensive soil sampling and laboratory testing conducted at the designated construction site in Tashkent. This service includes the assessment of soil bearing capacity, moisture content, and shear strength to ensure foundation stability in accordance with Uzbekistan State Building Norms (DBN).</w:t>
            </w:r>
          </w:p>
        </w:tc>
        <w:tc>
          <w:tcPr/>
          <w:p>
            <w:pPr>
              <w:pStyle w:val="Compact"/>
              <w:jc w:val="left"/>
            </w:pPr>
            <w:r>
              <w:t xml:space="preserve">1 Lot</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2</w:t>
            </w:r>
          </w:p>
        </w:tc>
        <w:tc>
          <w:tcPr/>
          <w:p>
            <w:pPr>
              <w:pStyle w:val="Compact"/>
              <w:jc w:val="left"/>
            </w:pPr>
            <w:r>
              <w:rPr>
                <w:bCs/>
                <w:b/>
              </w:rPr>
              <w:t xml:space="preserve">Structural Design &amp; Load Calculations</w:t>
            </w:r>
            <w:r>
              <w:br/>
            </w:r>
            <w:r>
              <w:t xml:space="preserve">Detailed structural engineering design for the reinforced concrete framework. Includes load analysis for dead, live, and seismic loads specific to the Tashkent region's seismic zone classification. Preparation of blueprints and technical specifications for the construction team.</w:t>
            </w:r>
          </w:p>
        </w:tc>
        <w:tc>
          <w:tcPr/>
          <w:p>
            <w:pPr>
              <w:pStyle w:val="Compact"/>
              <w:jc w:val="left"/>
            </w:pPr>
            <w:r>
              <w:t xml:space="preserve">120 Hrs</w:t>
            </w:r>
          </w:p>
        </w:tc>
        <w:tc>
          <w:tcPr/>
          <w:p>
            <w:pPr>
              <w:pStyle w:val="Compact"/>
              <w:jc w:val="left"/>
            </w:pPr>
            <w:r>
              <w:t xml:space="preserve">450,000</w:t>
            </w:r>
          </w:p>
        </w:tc>
        <w:tc>
          <w:tcPr/>
          <w:p>
            <w:pPr>
              <w:pStyle w:val="Compact"/>
              <w:jc w:val="left"/>
            </w:pPr>
            <w:r>
              <w:t xml:space="preserve">54,000,000</w:t>
            </w:r>
          </w:p>
        </w:tc>
      </w:tr>
      <w:tr>
        <w:tc>
          <w:tcPr/>
          <w:p>
            <w:pPr>
              <w:pStyle w:val="Compact"/>
              <w:jc w:val="left"/>
            </w:pPr>
            <w:r>
              <w:t xml:space="preserve">3</w:t>
            </w:r>
          </w:p>
        </w:tc>
        <w:tc>
          <w:tcPr/>
          <w:p>
            <w:pPr>
              <w:pStyle w:val="Compact"/>
              <w:jc w:val="left"/>
            </w:pPr>
            <w:r>
              <w:rPr>
                <w:bCs/>
                <w:b/>
              </w:rPr>
              <w:t xml:space="preserve">Hydraulic Engineering &amp; Drainage Planning</w:t>
            </w:r>
            <w:r>
              <w:br/>
            </w:r>
            <w:r>
              <w:t xml:space="preserve">Design of stormwater drainage systems and water management infrastructure to prevent flooding in the urban environment of Tashkent. Includes calculation of pipe diameters, flow rates, and integration with the municipal sewage network.</w:t>
            </w:r>
          </w:p>
        </w:tc>
        <w:tc>
          <w:tcPr/>
          <w:p>
            <w:pPr>
              <w:pStyle w:val="Compact"/>
              <w:jc w:val="left"/>
            </w:pPr>
            <w:r>
              <w:t xml:space="preserve">1 Lot</w:t>
            </w:r>
          </w:p>
        </w:tc>
        <w:tc>
          <w:tcPr/>
          <w:p>
            <w:pPr>
              <w:pStyle w:val="Compact"/>
              <w:jc w:val="left"/>
            </w:pPr>
            <w:r>
              <w:t xml:space="preserve">22,500,000</w:t>
            </w:r>
          </w:p>
        </w:tc>
        <w:tc>
          <w:tcPr/>
          <w:p>
            <w:pPr>
              <w:pStyle w:val="Compact"/>
              <w:jc w:val="left"/>
            </w:pPr>
            <w:r>
              <w:t xml:space="preserve">22,500,000</w:t>
            </w:r>
          </w:p>
        </w:tc>
      </w:tr>
      <w:tr>
        <w:tc>
          <w:tcPr/>
          <w:p>
            <w:pPr>
              <w:pStyle w:val="Compact"/>
              <w:jc w:val="left"/>
            </w:pPr>
            <w:r>
              <w:t xml:space="preserve">4</w:t>
            </w:r>
          </w:p>
        </w:tc>
        <w:tc>
          <w:tcPr/>
          <w:p>
            <w:pPr>
              <w:pStyle w:val="Compact"/>
              <w:jc w:val="left"/>
            </w:pPr>
            <w:r>
              <w:rPr>
                <w:bCs/>
                <w:b/>
              </w:rPr>
              <w:t xml:space="preserve">Construction Supervision &amp; Quality Assurance</w:t>
            </w:r>
            <w:r>
              <w:br/>
            </w:r>
            <w:r>
              <w:t xml:space="preserve">On-site supervision by senior Civil Engineers to ensure compliance with the approved design and safety standards. Includes daily site logs, material inspection reports, and coordination with local contractors in Uzbekistan.</w:t>
            </w:r>
          </w:p>
        </w:tc>
        <w:tc>
          <w:tcPr/>
          <w:p>
            <w:pPr>
              <w:pStyle w:val="Compact"/>
              <w:jc w:val="left"/>
            </w:pPr>
            <w:r>
              <w:t xml:space="preserve">45 Days</w:t>
            </w:r>
          </w:p>
        </w:tc>
        <w:tc>
          <w:tcPr/>
          <w:p>
            <w:pPr>
              <w:pStyle w:val="Compact"/>
              <w:jc w:val="left"/>
            </w:pPr>
            <w:r>
              <w:t xml:space="preserve">3,500,000</w:t>
            </w:r>
          </w:p>
        </w:tc>
        <w:tc>
          <w:tcPr/>
          <w:p>
            <w:pPr>
              <w:pStyle w:val="Compact"/>
              <w:jc w:val="left"/>
            </w:pPr>
            <w:r>
              <w:t xml:space="preserve">157,500,000</w:t>
            </w:r>
          </w:p>
        </w:tc>
      </w:tr>
      <w:tr>
        <w:tc>
          <w:tcPr/>
          <w:p>
            <w:pPr>
              <w:pStyle w:val="Compact"/>
              <w:jc w:val="left"/>
            </w:pPr>
            <w:r>
              <w:t xml:space="preserve">5</w:t>
            </w:r>
          </w:p>
        </w:tc>
        <w:tc>
          <w:tcPr/>
          <w:p>
            <w:pPr>
              <w:pStyle w:val="Compact"/>
              <w:jc w:val="left"/>
            </w:pPr>
            <w:r>
              <w:rPr>
                <w:bCs/>
                <w:b/>
              </w:rPr>
              <w:t xml:space="preserve">Final Project Documentation &amp; Handover</w:t>
            </w:r>
            <w:r>
              <w:br/>
            </w:r>
            <w:r>
              <w:t xml:space="preserve">Compilation of "As-Built" drawings, final structural integrity reports, and submission of necessary documentation to the Tashkent City Architecture and Construction Committee for final approval.</w:t>
            </w:r>
          </w:p>
        </w:tc>
        <w:tc>
          <w:tcPr/>
          <w:p>
            <w:pPr>
              <w:pStyle w:val="Compact"/>
              <w:jc w:val="left"/>
            </w:pPr>
            <w:r>
              <w:t xml:space="preserve">1 Lot</w:t>
            </w:r>
          </w:p>
        </w:tc>
        <w:tc>
          <w:tcPr/>
          <w:p>
            <w:pPr>
              <w:pStyle w:val="Compact"/>
              <w:jc w:val="left"/>
            </w:pPr>
            <w:r>
              <w:t xml:space="preserve">10,000,000</w:t>
            </w:r>
          </w:p>
        </w:tc>
        <w:tc>
          <w:tcPr/>
          <w:p>
            <w:pPr>
              <w:pStyle w:val="Compact"/>
              <w:jc w:val="left"/>
            </w:pPr>
            <w:r>
              <w:t xml:space="preserve">10,000,000</w:t>
            </w:r>
          </w:p>
        </w:tc>
      </w:tr>
    </w:tbl>
    <w:p>
      <w:pPr>
        <w:pStyle w:val="BodyText"/>
      </w:pPr>
      <w:r>
        <w:t xml:space="preserve">Subtotal:</w:t>
      </w:r>
      <w:r>
        <w:t xml:space="preserve"> </w:t>
      </w:r>
      <w:r>
        <w:t xml:space="preserve">259,000,000 UZS</w:t>
      </w:r>
    </w:p>
    <w:p>
      <w:pPr>
        <w:pStyle w:val="BodyText"/>
      </w:pPr>
      <w:r>
        <w:t xml:space="preserve">VAT (12%):</w:t>
      </w:r>
      <w:r>
        <w:t xml:space="preserve"> </w:t>
      </w:r>
      <w:r>
        <w:t xml:space="preserve">31,080,000 UZS</w:t>
      </w:r>
    </w:p>
    <w:p>
      <w:pPr>
        <w:pStyle w:val="BodyText"/>
      </w:pPr>
      <w:r>
        <w:t xml:space="preserve">TOTAL DUE:</w:t>
      </w:r>
      <w:r>
        <w:t xml:space="preserve"> </w:t>
      </w:r>
      <w:r>
        <w:t xml:space="preserve">290,080,000 UZS</w:t>
      </w:r>
    </w:p>
    <w:p>
      <w:pPr>
        <w:pStyle w:val="BodyText"/>
      </w:pPr>
      <w:r>
        <w:t xml:space="preserve">Amount in words: Two hundred ninety million eighty thousand Uzbekistan Sum.</w:t>
      </w:r>
    </w:p>
    <w:bookmarkStart w:id="23" w:name="payment-terms-conditions"/>
    <w:p>
      <w:pPr>
        <w:pStyle w:val="Heading4"/>
      </w:pPr>
      <w:r>
        <w:t xml:space="preserve">Payment Terms &amp; Conditions:</w:t>
      </w:r>
    </w:p>
    <w:p>
      <w:pPr>
        <w:pStyle w:val="FirstParagraph"/>
      </w:pPr>
      <w:r>
        <w:t xml:space="preserve">1. Payment is due within 14 days of the invoice date. Late payments will incur a penalty interest of 0.5% per day as per the Civil Code of the Republic of Uzbekistan.</w:t>
      </w:r>
      <w:r>
        <w:br/>
      </w:r>
      <w:r>
        <w:t xml:space="preserve">2. Please make payments via bank transfer to the account details listed below.</w:t>
      </w:r>
      <w:r>
        <w:br/>
      </w:r>
      <w:r>
        <w:t xml:space="preserve">3. This Invoice serves as a formal request for payment for Civil Engineering services rendered in Tashkent.</w:t>
      </w:r>
    </w:p>
    <w:bookmarkEnd w:id="23"/>
    <w:bookmarkStart w:id="24" w:name="bank-details"/>
    <w:p>
      <w:pPr>
        <w:pStyle w:val="Heading4"/>
      </w:pPr>
      <w:r>
        <w:t xml:space="preserve">Bank Details:</w:t>
      </w:r>
    </w:p>
    <w:p>
      <w:pPr>
        <w:pStyle w:val="FirstParagraph"/>
      </w:pPr>
      <w:r>
        <w:rPr>
          <w:bCs/>
          <w:b/>
        </w:rPr>
        <w:t xml:space="preserve">Bank Name:</w:t>
      </w:r>
      <w:r>
        <w:t xml:space="preserve"> </w:t>
      </w:r>
      <w:r>
        <w:t xml:space="preserve">Amarkon Bank JSC</w:t>
      </w:r>
      <w:r>
        <w:br/>
      </w:r>
      <w:r>
        <w:rPr>
          <w:bCs/>
          <w:b/>
        </w:rPr>
        <w:t xml:space="preserve">Account Name:</w:t>
      </w:r>
      <w:r>
        <w:t xml:space="preserve"> </w:t>
      </w:r>
      <w:r>
        <w:t xml:space="preserve">Tashkent Civil Engineering Solutions LLC</w:t>
      </w:r>
      <w:r>
        <w:br/>
      </w:r>
      <w:r>
        <w:rPr>
          <w:bCs/>
          <w:b/>
        </w:rPr>
        <w:t xml:space="preserve">Account Number:</w:t>
      </w:r>
      <w:r>
        <w:t xml:space="preserve"> </w:t>
      </w:r>
      <w:r>
        <w:t xml:space="preserve">20100000000000000000</w:t>
      </w:r>
      <w:r>
        <w:br/>
      </w:r>
      <w:r>
        <w:rPr>
          <w:bCs/>
          <w:b/>
        </w:rPr>
        <w:t xml:space="preserve">SWIFT/BIC:</w:t>
      </w:r>
      <w:r>
        <w:t xml:space="preserve"> </w:t>
      </w:r>
      <w:r>
        <w:t xml:space="preserve">AMRKUZ2X</w:t>
      </w:r>
      <w:r>
        <w:br/>
      </w:r>
      <w:r>
        <w:rPr>
          <w:bCs/>
          <w:b/>
        </w:rPr>
        <w:t xml:space="preserve">IBAN:</w:t>
      </w:r>
      <w:r>
        <w:t xml:space="preserve"> </w:t>
      </w:r>
      <w:r>
        <w:t xml:space="preserve">UZ99AMRK20100000000000000000</w:t>
      </w:r>
    </w:p>
    <w:bookmarkEnd w:id="24"/>
    <w:bookmarkStart w:id="25" w:name="technical-notes"/>
    <w:p>
      <w:pPr>
        <w:pStyle w:val="Heading4"/>
      </w:pPr>
      <w:r>
        <w:t xml:space="preserve">Technical Notes:</w:t>
      </w:r>
    </w:p>
    <w:p>
      <w:pPr>
        <w:pStyle w:val="FirstParagraph"/>
      </w:pPr>
      <w:r>
        <w:t xml:space="preserve">All engineering calculations and designs provided in this invoice have been executed in strict adherence to the current DBN (Davlat Qurilish Normasi) regulations of Uzbekistan. The Civil Engineers assigned to this project hold valid licenses issued by the Ministry of Architecture and Construction of the Republic of Uzbekistan. Any modifications to the scope of work must be documented via a Change Order form signed by both parties.</w:t>
      </w:r>
    </w:p>
    <w:bookmarkEnd w:id="25"/>
    <w:p>
      <w:pPr>
        <w:pStyle w:val="BodyText"/>
      </w:pPr>
      <w:r>
        <w:rPr>
          <w:bCs/>
          <w:b/>
        </w:rPr>
        <w:t xml:space="preserve">Authorized Signature</w:t>
      </w:r>
    </w:p>
    <w:p>
      <w:pPr>
        <w:pStyle w:val="BodyText"/>
      </w:pPr>
      <w:r>
        <w:t xml:space="preserve">Head of Engineering</w:t>
      </w:r>
    </w:p>
    <w:p>
      <w:pPr>
        <w:pStyle w:val="BodyText"/>
      </w:pPr>
      <w:r>
        <w:t xml:space="preserve">Tashkent Civil Engineering Solutions</w:t>
      </w:r>
    </w:p>
    <w:p>
      <w:pPr>
        <w:pStyle w:val="BodyText"/>
      </w:pPr>
      <w:r>
        <w:rPr>
          <w:bCs/>
          <w:b/>
        </w:rPr>
        <w:t xml:space="preserve">Received By</w:t>
      </w:r>
    </w:p>
    <w:p>
      <w:pPr>
        <w:pStyle w:val="BodyText"/>
      </w:pPr>
      <w:r>
        <w:t xml:space="preserve">Procurement Officer</w:t>
      </w:r>
    </w:p>
    <w:p>
      <w:pPr>
        <w:pStyle w:val="BodyText"/>
      </w:pPr>
      <w:r>
        <w:t xml:space="preserve">Uzbekistan State Construction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Civil Engineering Services - Tashkent, Uzbekistan</dc:title>
  <dc:creator/>
  <dc:language>en</dc:language>
  <cp:keywords/>
  <dcterms:created xsi:type="dcterms:W3CDTF">2026-10-10T02:37:42Z</dcterms:created>
  <dcterms:modified xsi:type="dcterms:W3CDTF">2026-10-10T02:37:42Z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