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tech-solutions-bogotá-s.a.s."/>
    <w:p>
      <w:pPr>
        <w:pStyle w:val="Heading1"/>
      </w:pPr>
      <w:r>
        <w:t xml:space="preserve">TECH SOLUTIONS BOGOTÁ S.A.S.</w:t>
      </w:r>
    </w:p>
    <w:p>
      <w:pPr>
        <w:pStyle w:val="FirstParagraph"/>
      </w:pPr>
      <w:r>
        <w:rPr>
          <w:bCs/>
          <w:b/>
        </w:rPr>
        <w:t xml:space="preserve">Computer Engineering &amp; IT Consulting</w:t>
      </w:r>
    </w:p>
    <w:p>
      <w:pPr>
        <w:pStyle w:val="BodyText"/>
      </w:pPr>
      <w:r>
        <w:t xml:space="preserve">Calle 100 #19-25, Oficina 501</w:t>
      </w:r>
    </w:p>
    <w:p>
      <w:pPr>
        <w:pStyle w:val="BodyText"/>
      </w:pPr>
      <w:r>
        <w:t xml:space="preserve">Local 15, Bogotá D.C., Colombia</w:t>
      </w:r>
    </w:p>
    <w:p>
      <w:pPr>
        <w:pStyle w:val="BodyText"/>
      </w:pPr>
      <w:r>
        <w:t xml:space="preserve">NIT: 900.123.456-7</w:t>
      </w:r>
    </w:p>
    <w:p>
      <w:pPr>
        <w:pStyle w:val="BodyText"/>
      </w:pPr>
      <w:r>
        <w:t xml:space="preserve">Email: billing@techsolutionsbogota.com.co</w:t>
      </w:r>
    </w:p>
    <w:p>
      <w:pPr>
        <w:pStyle w:val="BodyText"/>
      </w:pPr>
      <w:r>
        <w:t xml:space="preserve">Phone: +57 (1) 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w:t>
      </w:r>
    </w:p>
    <w:bookmarkEnd w:id="21"/>
    <w:p>
      <w:pPr>
        <w:pStyle w:val="BodyText"/>
      </w:pPr>
      <w:r>
        <w:t xml:space="preserve">Bill To:</w:t>
      </w:r>
    </w:p>
    <w:p>
      <w:pPr>
        <w:pStyle w:val="BodyText"/>
      </w:pPr>
      <w:r>
        <w:rPr>
          <w:bCs/>
          <w:b/>
        </w:rPr>
        <w:t xml:space="preserve">Global Logistics Corp.</w:t>
      </w:r>
    </w:p>
    <w:p>
      <w:pPr>
        <w:pStyle w:val="BodyText"/>
      </w:pPr>
      <w:r>
        <w:t xml:space="preserve">Attn: Procurement Department</w:t>
      </w:r>
    </w:p>
    <w:p>
      <w:pPr>
        <w:pStyle w:val="BodyText"/>
      </w:pPr>
      <w:r>
        <w:t xml:space="preserve">Carrera 7 #45-10, Piso 3</w:t>
      </w:r>
    </w:p>
    <w:p>
      <w:pPr>
        <w:pStyle w:val="BodyText"/>
      </w:pPr>
      <w:r>
        <w:t xml:space="preserve">Chapinero, Bogotá D.C., Colombia</w:t>
      </w:r>
    </w:p>
    <w:p>
      <w:pPr>
        <w:pStyle w:val="BodyText"/>
      </w:pPr>
      <w:r>
        <w:t xml:space="preserve">NIT: 800.987.654-3</w:t>
      </w:r>
    </w:p>
    <w:p>
      <w:pPr>
        <w:pStyle w:val="BodyText"/>
      </w:pPr>
      <w:r>
        <w:t xml:space="preserve">Project Details:</w:t>
      </w:r>
    </w:p>
    <w:p>
      <w:pPr>
        <w:pStyle w:val="BodyText"/>
      </w:pPr>
      <w:r>
        <w:rPr>
          <w:bCs/>
          <w:b/>
        </w:rPr>
        <w:t xml:space="preserve">Project Name:</w:t>
      </w:r>
      <w:r>
        <w:t xml:space="preserve"> </w:t>
      </w:r>
      <w:r>
        <w:t xml:space="preserve">Enterprise Network Infrastructure Upgrade</w:t>
      </w:r>
    </w:p>
    <w:p>
      <w:pPr>
        <w:pStyle w:val="BodyText"/>
      </w:pPr>
      <w:r>
        <w:rPr>
          <w:bCs/>
          <w:b/>
        </w:rPr>
        <w:t xml:space="preserve">Service Period:</w:t>
      </w:r>
      <w:r>
        <w:t xml:space="preserve"> </w:t>
      </w:r>
      <w:r>
        <w:t xml:space="preserve">September 01, 2023 - October 20, 2023</w:t>
      </w:r>
    </w:p>
    <w:p>
      <w:pPr>
        <w:pStyle w:val="BodyText"/>
      </w:pPr>
      <w:r>
        <w:rPr>
          <w:bCs/>
          <w:b/>
        </w:rPr>
        <w:t xml:space="preserve">Location:</w:t>
      </w:r>
      <w:r>
        <w:t xml:space="preserve"> </w:t>
      </w:r>
      <w:r>
        <w:t xml:space="preserve">Bogotá D.C. Headquarters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IVA (19%)</w:t>
            </w:r>
          </w:p>
        </w:tc>
      </w:tr>
      <w:tr>
        <w:tc>
          <w:tcPr/>
          <w:p>
            <w:pPr>
              <w:pStyle w:val="Compact"/>
              <w:jc w:val="left"/>
            </w:pPr>
            <w:r>
              <w:t xml:space="preserve">1</w:t>
            </w:r>
          </w:p>
        </w:tc>
        <w:tc>
          <w:tcPr/>
          <w:p>
            <w:pPr>
              <w:pStyle w:val="Compact"/>
              <w:jc w:val="left"/>
            </w:pPr>
            <w:r>
              <w:rPr>
                <w:bCs/>
                <w:b/>
              </w:rPr>
              <w:t xml:space="preserve">Network Architecture Design &amp; Implementation</w:t>
            </w:r>
            <w:r>
              <w:br/>
            </w:r>
            <w:r>
              <w:t xml:space="preserve">Comprehensive analysis and design of the new LAN/WAN topology for the Bogotá office. Includes VLAN configuration, routing protocols (OSPF/BGP), and firewall rule optimization.</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2,850,000</w:t>
            </w:r>
          </w:p>
        </w:tc>
      </w:tr>
      <w:tr>
        <w:tc>
          <w:tcPr/>
          <w:p>
            <w:pPr>
              <w:pStyle w:val="Compact"/>
              <w:jc w:val="left"/>
            </w:pPr>
            <w:r>
              <w:t xml:space="preserve">2</w:t>
            </w:r>
          </w:p>
        </w:tc>
        <w:tc>
          <w:tcPr/>
          <w:p>
            <w:pPr>
              <w:pStyle w:val="Compact"/>
              <w:jc w:val="left"/>
            </w:pPr>
            <w:r>
              <w:rPr>
                <w:bCs/>
                <w:b/>
              </w:rPr>
              <w:t xml:space="preserve">Server Hardware Installation &amp; Configuration</w:t>
            </w:r>
            <w:r>
              <w:br/>
            </w:r>
            <w:r>
              <w:t xml:space="preserve">Physical installation of 4 rack-mounted servers. Configuration of RAID arrays, OS installation (Linux/Windows Server), and virtualization setup using VMware ESXi.</w:t>
            </w:r>
          </w:p>
        </w:tc>
        <w:tc>
          <w:tcPr/>
          <w:p>
            <w:pPr>
              <w:pStyle w:val="Compact"/>
              <w:jc w:val="left"/>
            </w:pPr>
            <w:r>
              <w:t xml:space="preserve">4</w:t>
            </w:r>
          </w:p>
        </w:tc>
        <w:tc>
          <w:tcPr/>
          <w:p>
            <w:pPr>
              <w:pStyle w:val="Compact"/>
              <w:jc w:val="left"/>
            </w:pPr>
            <w:r>
              <w:t xml:space="preserve">2,500,000</w:t>
            </w:r>
          </w:p>
        </w:tc>
        <w:tc>
          <w:tcPr/>
          <w:p>
            <w:pPr>
              <w:pStyle w:val="Compact"/>
              <w:jc w:val="left"/>
            </w:pPr>
            <w:r>
              <w:t xml:space="preserve">10,000,000</w:t>
            </w:r>
          </w:p>
        </w:tc>
        <w:tc>
          <w:tcPr/>
          <w:p>
            <w:pPr>
              <w:pStyle w:val="Compact"/>
              <w:jc w:val="left"/>
            </w:pPr>
            <w:r>
              <w:t xml:space="preserve">1,900,000</w:t>
            </w:r>
          </w:p>
        </w:tc>
      </w:tr>
      <w:tr>
        <w:tc>
          <w:tcPr/>
          <w:p>
            <w:pPr>
              <w:pStyle w:val="Compact"/>
              <w:jc w:val="left"/>
            </w:pPr>
            <w:r>
              <w:t xml:space="preserve">3</w:t>
            </w:r>
          </w:p>
        </w:tc>
        <w:tc>
          <w:tcPr/>
          <w:p>
            <w:pPr>
              <w:pStyle w:val="Compact"/>
              <w:jc w:val="left"/>
            </w:pPr>
            <w:r>
              <w:rPr>
                <w:bCs/>
                <w:b/>
              </w:rPr>
              <w:t xml:space="preserve">Cybersecurity Audit &amp; Penetration Testing</w:t>
            </w:r>
            <w:r>
              <w:br/>
            </w:r>
            <w:r>
              <w:t xml:space="preserve">Vulnerability assessment of the current infrastructure. Implementation of intrusion detection systems (IDS) and endpoint protection policies compliant with Colombian data protection standards.</w:t>
            </w:r>
          </w:p>
        </w:tc>
        <w:tc>
          <w:tcPr/>
          <w:p>
            <w:pPr>
              <w:pStyle w:val="Compact"/>
              <w:jc w:val="left"/>
            </w:pPr>
            <w:r>
              <w:t xml:space="preserve">1</w:t>
            </w:r>
          </w:p>
        </w:tc>
        <w:tc>
          <w:tcPr/>
          <w:p>
            <w:pPr>
              <w:pStyle w:val="Compact"/>
              <w:jc w:val="left"/>
            </w:pPr>
            <w:r>
              <w:t xml:space="preserve">8,000,000</w:t>
            </w:r>
          </w:p>
        </w:tc>
        <w:tc>
          <w:tcPr/>
          <w:p>
            <w:pPr>
              <w:pStyle w:val="Compact"/>
              <w:jc w:val="left"/>
            </w:pPr>
            <w:r>
              <w:t xml:space="preserve">8,000,000</w:t>
            </w:r>
          </w:p>
        </w:tc>
        <w:tc>
          <w:tcPr/>
          <w:p>
            <w:pPr>
              <w:pStyle w:val="Compact"/>
              <w:jc w:val="left"/>
            </w:pPr>
            <w:r>
              <w:t xml:space="preserve">1,520,000</w:t>
            </w:r>
          </w:p>
        </w:tc>
      </w:tr>
      <w:tr>
        <w:tc>
          <w:tcPr/>
          <w:p>
            <w:pPr>
              <w:pStyle w:val="Compact"/>
              <w:jc w:val="left"/>
            </w:pPr>
            <w:r>
              <w:t xml:space="preserve">4</w:t>
            </w:r>
          </w:p>
        </w:tc>
        <w:tc>
          <w:tcPr/>
          <w:p>
            <w:pPr>
              <w:pStyle w:val="Compact"/>
              <w:jc w:val="left"/>
            </w:pPr>
            <w:r>
              <w:rPr>
                <w:bCs/>
                <w:b/>
              </w:rPr>
              <w:t xml:space="preserve">Technical Consultation &amp; Staff Training</w:t>
            </w:r>
            <w:r>
              <w:br/>
            </w:r>
            <w:r>
              <w:t xml:space="preserve">20 hours of specialized training for internal IT staff on network management and security protocols. Includes documentation and user manuals.</w:t>
            </w:r>
          </w:p>
        </w:tc>
        <w:tc>
          <w:tcPr/>
          <w:p>
            <w:pPr>
              <w:pStyle w:val="Compact"/>
              <w:jc w:val="left"/>
            </w:pPr>
            <w:r>
              <w:t xml:space="preserve">20</w:t>
            </w:r>
          </w:p>
        </w:tc>
        <w:tc>
          <w:tcPr/>
          <w:p>
            <w:pPr>
              <w:pStyle w:val="Compact"/>
              <w:jc w:val="left"/>
            </w:pPr>
            <w:r>
              <w:t xml:space="preserve">350,000</w:t>
            </w:r>
          </w:p>
        </w:tc>
        <w:tc>
          <w:tcPr/>
          <w:p>
            <w:pPr>
              <w:pStyle w:val="Compact"/>
              <w:jc w:val="left"/>
            </w:pPr>
            <w:r>
              <w:t xml:space="preserve">7,000,000</w:t>
            </w:r>
          </w:p>
        </w:tc>
        <w:tc>
          <w:tcPr/>
          <w:p>
            <w:pPr>
              <w:pStyle w:val="Compact"/>
              <w:jc w:val="left"/>
            </w:pPr>
            <w:r>
              <w:t xml:space="preserve">1,330,000</w:t>
            </w:r>
          </w:p>
        </w:tc>
      </w:tr>
      <w:tr>
        <w:tc>
          <w:tcPr/>
          <w:p>
            <w:pPr>
              <w:pStyle w:val="Compact"/>
              <w:jc w:val="left"/>
            </w:pPr>
            <w:r>
              <w:t xml:space="preserve">5</w:t>
            </w:r>
          </w:p>
        </w:tc>
        <w:tc>
          <w:tcPr/>
          <w:p>
            <w:pPr>
              <w:pStyle w:val="Compact"/>
              <w:jc w:val="left"/>
            </w:pPr>
            <w:r>
              <w:rPr>
                <w:bCs/>
                <w:b/>
              </w:rPr>
              <w:t xml:space="preserve">Cloud Migration Strategy &amp; Execution</w:t>
            </w:r>
            <w:r>
              <w:br/>
            </w:r>
            <w:r>
              <w:t xml:space="preserve">Migration of legacy data to AWS cloud infrastructure. Includes data encryption, backup configuration, and disaster recovery planning.</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2,280,000</w:t>
            </w:r>
          </w:p>
        </w:tc>
      </w:tr>
    </w:tbl>
    <w:p>
      <w:pPr>
        <w:pStyle w:val="BodyText"/>
      </w:pPr>
      <w:r>
        <w:t xml:space="preserve">Subtotal:</w:t>
      </w:r>
      <w:r>
        <w:t xml:space="preserve"> </w:t>
      </w:r>
      <w:r>
        <w:t xml:space="preserve">$52,000,000 COP</w:t>
      </w:r>
    </w:p>
    <w:p>
      <w:pPr>
        <w:pStyle w:val="BodyText"/>
      </w:pPr>
      <w:r>
        <w:t xml:space="preserve">IVA (19%):</w:t>
      </w:r>
      <w:r>
        <w:t xml:space="preserve"> </w:t>
      </w:r>
      <w:r>
        <w:t xml:space="preserve">$9,880,000 COP</w:t>
      </w:r>
    </w:p>
    <w:p>
      <w:pPr>
        <w:pStyle w:val="BodyText"/>
      </w:pPr>
      <w:r>
        <w:t xml:space="preserve">TOTAL DUE:</w:t>
      </w:r>
      <w:r>
        <w:t xml:space="preserve"> </w:t>
      </w:r>
      <w:r>
        <w:t xml:space="preserve">$61,880,000 COP</w:t>
      </w:r>
    </w:p>
    <w:p>
      <w:pPr>
        <w:pStyle w:val="BodyText"/>
      </w:pPr>
      <w:r>
        <w:t xml:space="preserve">Payment Instructions</w:t>
      </w:r>
    </w:p>
    <w:p>
      <w:pPr>
        <w:pStyle w:val="BodyText"/>
      </w:pPr>
      <w:r>
        <w:t xml:space="preserve">Please make payment via bank transfer to the following account:</w:t>
      </w:r>
    </w:p>
    <w:p>
      <w:pPr>
        <w:pStyle w:val="BodyText"/>
      </w:pPr>
      <w:r>
        <w:rPr>
          <w:bCs/>
          <w:b/>
        </w:rPr>
        <w:t xml:space="preserve">Bank:</w:t>
      </w:r>
      <w:r>
        <w:t xml:space="preserve"> </w:t>
      </w:r>
      <w:r>
        <w:t xml:space="preserve">Bancolombia</w:t>
      </w:r>
    </w:p>
    <w:p>
      <w:pPr>
        <w:pStyle w:val="BodyText"/>
      </w:pPr>
      <w:r>
        <w:rPr>
          <w:bCs/>
          <w:b/>
        </w:rPr>
        <w:t xml:space="preserve">Account Type:</w:t>
      </w:r>
      <w:r>
        <w:t xml:space="preserve"> </w:t>
      </w:r>
      <w:r>
        <w:t xml:space="preserve">Checking (Corriente)</w:t>
      </w:r>
    </w:p>
    <w:p>
      <w:pPr>
        <w:pStyle w:val="BodyText"/>
      </w:pPr>
      <w:r>
        <w:rPr>
          <w:bCs/>
          <w:b/>
        </w:rPr>
        <w:t xml:space="preserve">Account Number:</w:t>
      </w:r>
      <w:r>
        <w:t xml:space="preserve"> </w:t>
      </w:r>
      <w:r>
        <w:t xml:space="preserve">123-456789-00</w:t>
      </w:r>
    </w:p>
    <w:p>
      <w:pPr>
        <w:pStyle w:val="BodyText"/>
      </w:pPr>
      <w:r>
        <w:rPr>
          <w:bCs/>
          <w:b/>
        </w:rPr>
        <w:t xml:space="preserve">Reference:</w:t>
      </w:r>
      <w:r>
        <w:t xml:space="preserve"> </w:t>
      </w:r>
      <w:r>
        <w:t xml:space="preserve">INV-2023-0892</w:t>
      </w:r>
    </w:p>
    <w:p>
      <w:pPr>
        <w:pStyle w:val="BodyText"/>
      </w:pPr>
      <w:r>
        <w:rPr>
          <w:bCs/>
          <w:b/>
        </w:rPr>
        <w:t xml:space="preserve">SWIFT Code:</w:t>
      </w:r>
      <w:r>
        <w:t xml:space="preserve"> </w:t>
      </w:r>
      <w:r>
        <w:t xml:space="preserve">BCOCCOBB</w:t>
      </w:r>
    </w:p>
    <w:p>
      <w:pPr>
        <w:pStyle w:val="BodyText"/>
      </w:pPr>
      <w:r>
        <w:t xml:space="preserve">Late payments will incur a penalty of 1.5% per month as per Colombian commercial law.</w:t>
      </w:r>
    </w:p>
    <w:p>
      <w:pPr>
        <w:pStyle w:val="BodyText"/>
      </w:pPr>
      <w:r>
        <w:t xml:space="preserve">Terms and Conditions</w:t>
      </w:r>
    </w:p>
    <w:p>
      <w:pPr>
        <w:pStyle w:val="BodyText"/>
      </w:pPr>
      <w:r>
        <w:t xml:space="preserve">1. This invoice represents professional services rendered by a licensed Computer Engineer in accordance with the regulations of the Ministry of Information and Communications Technologies of Colombia.</w:t>
      </w:r>
    </w:p>
    <w:p>
      <w:pPr>
        <w:pStyle w:val="BodyText"/>
      </w:pPr>
      <w:r>
        <w:t xml:space="preserve">2. All services are subject to the applicable Value Added Tax (IVA) of 19% as mandated by the Colombian tax authority (DIAN).</w:t>
      </w:r>
    </w:p>
    <w:p>
      <w:pPr>
        <w:pStyle w:val="BodyText"/>
      </w:pPr>
      <w:r>
        <w:t xml:space="preserve">3. Intellectual property rights for custom code and configurations developed during this project will be transferred to the client upon full payment of this invoice.</w:t>
      </w:r>
    </w:p>
    <w:p>
      <w:pPr>
        <w:pStyle w:val="BodyText"/>
      </w:pPr>
      <w:r>
        <w:t xml:space="preserve">4. Warranty on hardware installation is valid for 12 months from the date of completion. Software support is provided for 3 months.</w:t>
      </w:r>
    </w:p>
    <w:p>
      <w:pPr>
        <w:pStyle w:val="BodyText"/>
      </w:pPr>
      <w:r>
        <w:t xml:space="preserve">5. Any disputes arising from this contract shall be resolved under the jurisdiction of the courts of Bogotá D.C., Colombia.</w:t>
      </w:r>
    </w:p>
    <w:p>
      <w:pPr>
        <w:pStyle w:val="BodyText"/>
      </w:pPr>
      <w:r>
        <w:rPr>
          <w:bCs/>
          <w:b/>
        </w:rPr>
        <w:t xml:space="preserve">Authorized Signature</w:t>
      </w:r>
    </w:p>
    <w:p>
      <w:pPr>
        <w:pStyle w:val="BodyText"/>
      </w:pPr>
      <w:r>
        <w:t xml:space="preserve">Carlos Andrés Rodríguez</w:t>
      </w:r>
    </w:p>
    <w:p>
      <w:pPr>
        <w:pStyle w:val="BodyText"/>
      </w:pPr>
      <w:r>
        <w:t xml:space="preserve">Lead Computer Engineer</w:t>
      </w:r>
    </w:p>
    <w:p>
      <w:pPr>
        <w:pStyle w:val="BodyText"/>
      </w:pPr>
      <w:r>
        <w:t xml:space="preserve">Tech Solutions Bogotá S.A.S.</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This document is a valid electronic invoice issued in compliance with Resolution 000042 of 2020 by the DIAN. It serves as a legal proof of transaction for tax purposes in Colombia. The services described herein were performed by qualified Computer Engineers specializing in network infrastructure, cybersecurity, and system architecture. By accepting this invoice, the client acknowledges receipt of services and agrees to the payment terms outlined above. For any queries regarding this invoice, please contact our accounting department in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2026-10-10T05:08:16Z</dcterms:created>
  <dcterms:modified xsi:type="dcterms:W3CDTF">2026-10-10T05:08:16Z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